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52145A" w14:paraId="5D7D4D4F" w14:textId="77777777" w:rsidTr="00F05D59">
        <w:trPr>
          <w:trHeight w:hRule="exact" w:val="227"/>
        </w:trPr>
        <w:tc>
          <w:tcPr>
            <w:tcW w:w="935" w:type="dxa"/>
            <w:vAlign w:val="center"/>
          </w:tcPr>
          <w:p w14:paraId="34637C62" w14:textId="2AE427A2" w:rsidR="0052145A" w:rsidRDefault="0052145A" w:rsidP="0052145A">
            <w:pPr>
              <w:pStyle w:val="dajtabulky"/>
            </w:pPr>
            <w:bookmarkStart w:id="0" w:name="_Hlk509405018"/>
          </w:p>
        </w:tc>
        <w:tc>
          <w:tcPr>
            <w:tcW w:w="6977" w:type="dxa"/>
            <w:vAlign w:val="center"/>
          </w:tcPr>
          <w:p w14:paraId="67A7894D" w14:textId="52629467" w:rsidR="0052145A" w:rsidRDefault="0052145A" w:rsidP="0052145A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214B36AD" w14:textId="7230BA28" w:rsidR="0052145A" w:rsidRDefault="0052145A" w:rsidP="0052145A">
            <w:pPr>
              <w:pStyle w:val="dajtabulky"/>
            </w:pPr>
          </w:p>
        </w:tc>
      </w:tr>
      <w:tr w:rsidR="0052145A" w14:paraId="412FD742" w14:textId="77777777" w:rsidTr="00F05D59">
        <w:trPr>
          <w:trHeight w:hRule="exact" w:val="227"/>
        </w:trPr>
        <w:tc>
          <w:tcPr>
            <w:tcW w:w="935" w:type="dxa"/>
            <w:vAlign w:val="center"/>
          </w:tcPr>
          <w:p w14:paraId="2B0BADF6" w14:textId="77777777" w:rsidR="0052145A" w:rsidRDefault="0052145A" w:rsidP="0052145A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7A1D7D2C" w14:textId="77777777" w:rsidR="0052145A" w:rsidRDefault="0052145A" w:rsidP="0052145A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5857F3C6" w14:textId="77777777" w:rsidR="0052145A" w:rsidRDefault="0052145A" w:rsidP="0052145A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6361E121" w14:textId="77777777" w:rsidR="00F05D59" w:rsidRDefault="00F05D59" w:rsidP="00F05D59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F05D59" w14:paraId="6F1F55CC" w14:textId="77777777" w:rsidTr="00F05D59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D06AD3E" w14:textId="77777777" w:rsidR="00F05D59" w:rsidRDefault="00F05D59" w:rsidP="00F05D59">
            <w:pPr>
              <w:tabs>
                <w:tab w:val="left" w:pos="285"/>
              </w:tabs>
              <w:rPr>
                <w:color w:val="BFBFBF" w:themeColor="background1" w:themeShade="BF"/>
                <w:sz w:val="96"/>
                <w:szCs w:val="96"/>
              </w:rPr>
            </w:pPr>
            <w:r>
              <w:rPr>
                <w:noProof/>
                <w:color w:val="BFBFBF" w:themeColor="background1" w:themeShade="BF"/>
                <w:sz w:val="96"/>
                <w:szCs w:val="96"/>
              </w:rPr>
              <w:drawing>
                <wp:anchor distT="0" distB="0" distL="114300" distR="114300" simplePos="0" relativeHeight="251659264" behindDoc="0" locked="0" layoutInCell="1" allowOverlap="1" wp14:anchorId="22871E64" wp14:editId="34A5B1D4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181610</wp:posOffset>
                  </wp:positionV>
                  <wp:extent cx="2900045" cy="450850"/>
                  <wp:effectExtent l="0" t="0" r="0" b="635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_silnicni.emf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045" cy="45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ab/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430FFD6" w14:textId="77777777" w:rsidR="00F05D59" w:rsidRDefault="00F05D59" w:rsidP="00F05D59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SILNIČNÍ PROJEKT spol. s r.o.</w:t>
            </w:r>
          </w:p>
          <w:p w14:paraId="26D38631" w14:textId="77777777" w:rsidR="00F05D59" w:rsidRDefault="00F05D59" w:rsidP="00F05D59">
            <w:pPr>
              <w:pStyle w:val="Firma"/>
            </w:pPr>
            <w:r>
              <w:t>Palackého třída 12, 612 00 Brno</w:t>
            </w:r>
          </w:p>
          <w:p w14:paraId="1BCFCA4A" w14:textId="7F70F77D" w:rsidR="00F05D59" w:rsidRDefault="00F05D59" w:rsidP="00F05D59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+420 541 426 08</w:t>
            </w:r>
            <w:r w:rsidR="00834DC0">
              <w:rPr>
                <w:sz w:val="16"/>
                <w:szCs w:val="16"/>
              </w:rPr>
              <w:t>6</w:t>
            </w:r>
          </w:p>
          <w:p w14:paraId="0D902D1C" w14:textId="7A35EC71" w:rsidR="00F05D59" w:rsidRDefault="00F05D59" w:rsidP="00F05D59">
            <w:pPr>
              <w:pStyle w:val="Firma"/>
            </w:pPr>
            <w:r>
              <w:rPr>
                <w:sz w:val="16"/>
                <w:szCs w:val="16"/>
              </w:rPr>
              <w:t xml:space="preserve">E-mail: </w:t>
            </w:r>
            <w:r w:rsidR="00834DC0">
              <w:rPr>
                <w:sz w:val="16"/>
                <w:szCs w:val="16"/>
              </w:rPr>
              <w:t>info</w:t>
            </w:r>
            <w:r>
              <w:rPr>
                <w:sz w:val="16"/>
                <w:szCs w:val="16"/>
              </w:rPr>
              <w:t>@silproj.cz</w:t>
            </w:r>
          </w:p>
        </w:tc>
      </w:tr>
      <w:tr w:rsidR="00F05D59" w14:paraId="50ACD35E" w14:textId="77777777" w:rsidTr="00F05D59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202B7004" w14:textId="77777777" w:rsidR="00F05D59" w:rsidRDefault="00F05D59" w:rsidP="00F05D59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3D751B80" w14:textId="77777777" w:rsidR="00F05D59" w:rsidRDefault="00F05D59" w:rsidP="00F05D59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F05D59" w14:paraId="53B1CD8D" w14:textId="77777777" w:rsidTr="00F05D59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11359D22" w14:textId="77777777" w:rsidR="00F05D59" w:rsidRDefault="00F05D59" w:rsidP="00F05D59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50D9EEFA" w14:textId="77777777" w:rsidR="00F05D59" w:rsidRDefault="00F05D59" w:rsidP="00F05D59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F05D59" w14:paraId="3491F78E" w14:textId="77777777" w:rsidTr="00F05D59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727872B" w14:textId="77777777" w:rsidR="00F05D59" w:rsidRDefault="00F05D59" w:rsidP="00F05D59">
            <w:pPr>
              <w:pStyle w:val="Popisektabulky"/>
            </w:pPr>
            <w:r>
              <w:t>Kontroloval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2795A81" w14:textId="77777777" w:rsidR="00F05D59" w:rsidRDefault="00F05D59" w:rsidP="00F05D59">
            <w:r>
              <w:t>Ing. Jan Polášek</w:t>
            </w:r>
          </w:p>
        </w:tc>
      </w:tr>
    </w:tbl>
    <w:p w14:paraId="5ED2E39E" w14:textId="77777777" w:rsidR="00F05D59" w:rsidRDefault="00F05D59" w:rsidP="00F05D59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F05D59" w14:paraId="75AAD9C4" w14:textId="77777777" w:rsidTr="00F05D59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5B7306DA" w14:textId="77777777" w:rsidR="00F05D59" w:rsidRDefault="00F05D59" w:rsidP="00F05D59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53A3E124" wp14:editId="5100F4B9">
                  <wp:extent cx="1666875" cy="457200"/>
                  <wp:effectExtent l="0" t="0" r="9525" b="0"/>
                  <wp:docPr id="4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66DACCF5" w14:textId="77777777" w:rsidR="00F05D59" w:rsidRDefault="00F05D59" w:rsidP="00F05D59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72F5C531" w14:textId="77777777" w:rsidR="00F05D59" w:rsidRDefault="00F05D59" w:rsidP="00F05D59">
            <w:pPr>
              <w:pStyle w:val="Firma"/>
            </w:pPr>
            <w:r>
              <w:t xml:space="preserve">Projektová a inženýrská společnost </w:t>
            </w:r>
          </w:p>
          <w:p w14:paraId="599AE21C" w14:textId="77777777" w:rsidR="00F05D59" w:rsidRDefault="00F05D59" w:rsidP="00F05D59">
            <w:pPr>
              <w:pStyle w:val="Firma"/>
            </w:pPr>
            <w:r>
              <w:t>Palackého třída 12, 612 00 Brno</w:t>
            </w:r>
          </w:p>
          <w:p w14:paraId="25E12903" w14:textId="77777777" w:rsidR="00F05D59" w:rsidRDefault="00F05D59" w:rsidP="00F05D59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49EF0D97" w14:textId="77777777" w:rsidR="00F05D59" w:rsidRDefault="00F05D59" w:rsidP="00F05D59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72E927DA" w14:textId="77777777" w:rsidR="00F05D59" w:rsidRDefault="00F05D59" w:rsidP="00F05D59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F05D59" w14:paraId="2C821497" w14:textId="77777777" w:rsidTr="00F05D59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67132E8" w14:textId="77777777" w:rsidR="00F05D59" w:rsidRDefault="00F05D59" w:rsidP="00F05D59">
            <w:pPr>
              <w:pStyle w:val="Popisektabulky"/>
            </w:pPr>
            <w:r>
              <w:t>Vedoucí projektu</w:t>
            </w:r>
          </w:p>
        </w:tc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2FBACE1E" w14:textId="77777777" w:rsidR="00F05D59" w:rsidRDefault="00F05D59" w:rsidP="00F05D59">
            <w:r>
              <w:t>Ing. Jan Polášek</w:t>
            </w:r>
          </w:p>
        </w:tc>
      </w:tr>
      <w:tr w:rsidR="00F05D59" w14:paraId="4BF97687" w14:textId="77777777" w:rsidTr="00F05D59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55CA778" w14:textId="77777777" w:rsidR="00F05D59" w:rsidRDefault="00F05D59" w:rsidP="00F05D59">
            <w:pPr>
              <w:pStyle w:val="Popisektabulky"/>
            </w:pPr>
            <w:r>
              <w:t>Vedoucí dílčího projektu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E916C6E" w14:textId="77777777" w:rsidR="00F05D59" w:rsidRDefault="00F05D59" w:rsidP="00F05D59"/>
        </w:tc>
      </w:tr>
    </w:tbl>
    <w:p w14:paraId="3C44E638" w14:textId="77777777" w:rsidR="00F05D59" w:rsidRDefault="00F05D59" w:rsidP="00F05D59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F05D59" w14:paraId="7C2B97BE" w14:textId="77777777" w:rsidTr="00F05D59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3A40CFA1" w14:textId="77777777" w:rsidR="00F05D59" w:rsidRDefault="00F05D59" w:rsidP="00F05D59">
            <w:pPr>
              <w:pStyle w:val="Popisektabulky"/>
            </w:pPr>
            <w:r>
              <w:t>Investor</w:t>
            </w:r>
          </w:p>
        </w:tc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636A32CC" w14:textId="77777777" w:rsidR="00F05D59" w:rsidRDefault="00F05D59" w:rsidP="00F05D59">
            <w:pPr>
              <w:pStyle w:val="dajtabulky"/>
            </w:pPr>
            <w:r>
              <w:t>Město Mikulov</w:t>
            </w:r>
          </w:p>
        </w:tc>
      </w:tr>
      <w:tr w:rsidR="00F05D59" w14:paraId="1AA345F5" w14:textId="77777777" w:rsidTr="00F05D59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2F6959D9" w14:textId="77777777" w:rsidR="00F05D59" w:rsidRDefault="00F05D59" w:rsidP="00F05D59">
            <w:pPr>
              <w:pStyle w:val="Popisektabulky"/>
            </w:pPr>
            <w:r>
              <w:t>Objednatel</w:t>
            </w:r>
          </w:p>
        </w:tc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77A89D31" w14:textId="77777777" w:rsidR="00F05D59" w:rsidRDefault="00F05D59" w:rsidP="00F05D59">
            <w:pPr>
              <w:pStyle w:val="dajtabulky"/>
            </w:pPr>
            <w:r>
              <w:t>Město Mikulov</w:t>
            </w:r>
          </w:p>
        </w:tc>
      </w:tr>
    </w:tbl>
    <w:p w14:paraId="04BF83E0" w14:textId="77777777" w:rsidR="00F05D59" w:rsidRDefault="00F05D59" w:rsidP="00F05D59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779"/>
        <w:gridCol w:w="709"/>
        <w:gridCol w:w="1248"/>
        <w:gridCol w:w="666"/>
        <w:gridCol w:w="1295"/>
        <w:gridCol w:w="900"/>
        <w:gridCol w:w="285"/>
        <w:gridCol w:w="788"/>
        <w:gridCol w:w="589"/>
      </w:tblGrid>
      <w:tr w:rsidR="00F05D59" w14:paraId="3EB1ECF1" w14:textId="77777777" w:rsidTr="00634B19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32E0DF" w14:textId="77777777" w:rsidR="00F05D59" w:rsidRDefault="00F05D59" w:rsidP="00F05D59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E9A334" w14:textId="2C819A2A" w:rsidR="00F05D59" w:rsidRPr="00403654" w:rsidRDefault="00AC58DD" w:rsidP="00F05D59">
            <w:pPr>
              <w:pStyle w:val="dajtabulky"/>
              <w:rPr>
                <w:highlight w:val="yellow"/>
              </w:rPr>
            </w:pPr>
            <w:r>
              <w:t>1</w:t>
            </w:r>
            <w:r w:rsidR="00BF78EF">
              <w:t>4</w:t>
            </w:r>
            <w:r w:rsidR="00F05D59" w:rsidRPr="00B771EF">
              <w:rPr>
                <w:rFonts w:ascii="Tahoma" w:hAnsi="Tahoma" w:cs="Tahoma"/>
              </w:rPr>
              <w:t>×</w:t>
            </w:r>
            <w:r w:rsidR="00F05D59" w:rsidRPr="00B771EF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226D3B7" w14:textId="77777777" w:rsidR="00F05D59" w:rsidRDefault="00F05D59" w:rsidP="00F05D59">
            <w:pPr>
              <w:pStyle w:val="Popisektabulky"/>
            </w:pPr>
            <w:r>
              <w:t>Měřítko</w:t>
            </w:r>
          </w:p>
        </w:tc>
        <w:bookmarkStart w:id="1" w:name="Meritko"/>
        <w:tc>
          <w:tcPr>
            <w:tcW w:w="77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694D472" w14:textId="77777777" w:rsidR="00F05D59" w:rsidRDefault="00F05D59" w:rsidP="00F05D59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-</w:t>
            </w:r>
            <w:r>
              <w:fldChar w:fldCharType="end"/>
            </w:r>
            <w:bookmarkEnd w:id="1"/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36A6DF66" w14:textId="77777777" w:rsidR="00F05D59" w:rsidRDefault="00F05D59" w:rsidP="00F05D59">
            <w:pPr>
              <w:pStyle w:val="Popisektabulky"/>
            </w:pPr>
            <w:r>
              <w:t>Stupeň</w:t>
            </w:r>
          </w:p>
        </w:tc>
        <w:bookmarkStart w:id="2" w:name="Stupen"/>
        <w:tc>
          <w:tcPr>
            <w:tcW w:w="1248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AD52F8F" w14:textId="77777777" w:rsidR="00F05D59" w:rsidRDefault="00F05D59" w:rsidP="00F05D59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+P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DSP+PDPS</w:t>
            </w:r>
            <w:r>
              <w:fldChar w:fldCharType="end"/>
            </w:r>
            <w:bookmarkEnd w:id="2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F8E632F" w14:textId="77777777" w:rsidR="00F05D59" w:rsidRDefault="00F05D59" w:rsidP="00F05D59">
            <w:pPr>
              <w:pStyle w:val="Popisektabulky"/>
            </w:pPr>
            <w:r>
              <w:t>Datum</w:t>
            </w:r>
          </w:p>
        </w:tc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7FBA92" w14:textId="7B1C81C7" w:rsidR="00F05D59" w:rsidRDefault="00634B19" w:rsidP="00F05D59">
            <w:pPr>
              <w:pStyle w:val="dajtabulky"/>
            </w:pPr>
            <w:r>
              <w:t>12</w:t>
            </w:r>
            <w:r w:rsidR="00F05D59">
              <w:t>/202</w:t>
            </w:r>
            <w:r>
              <w:t>1</w:t>
            </w:r>
          </w:p>
        </w:tc>
        <w:tc>
          <w:tcPr>
            <w:tcW w:w="1185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23254B3B" w14:textId="77777777" w:rsidR="00F05D59" w:rsidRDefault="00F05D59" w:rsidP="00F05D59">
            <w:pPr>
              <w:pStyle w:val="Popisektabulky"/>
            </w:pPr>
            <w:r>
              <w:t>Zakázkové číslo</w:t>
            </w:r>
          </w:p>
        </w:tc>
        <w:tc>
          <w:tcPr>
            <w:tcW w:w="137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8C3E841" w14:textId="52B93956" w:rsidR="00F05D59" w:rsidRDefault="00F05D59" w:rsidP="00F05D59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t>1543920-16</w:t>
            </w:r>
            <w:r w:rsidR="00634B19">
              <w:rPr>
                <w:b/>
                <w:bCs/>
              </w:rPr>
              <w:t>-01</w:t>
            </w:r>
          </w:p>
        </w:tc>
      </w:tr>
      <w:tr w:rsidR="00F05D59" w14:paraId="747D9D5C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ADB9F89" w14:textId="77777777" w:rsidR="00F05D59" w:rsidRDefault="00F05D59" w:rsidP="00F05D59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6841745" w14:textId="77777777" w:rsidR="00F05D59" w:rsidRDefault="00F05D59" w:rsidP="00F05D59">
            <w:pPr>
              <w:pStyle w:val="Popisektabulky"/>
            </w:pPr>
          </w:p>
        </w:tc>
      </w:tr>
      <w:tr w:rsidR="00F05D59" w14:paraId="50641030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120AD6D3" w14:textId="77777777" w:rsidR="00F05D59" w:rsidRDefault="00F05D59" w:rsidP="00F05D59">
            <w:pPr>
              <w:pStyle w:val="Popisektabulky"/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068600" w14:textId="77777777" w:rsidR="00D52FB7" w:rsidRDefault="00D52FB7" w:rsidP="00F05D59">
            <w:pPr>
              <w:pStyle w:val="Projekt"/>
            </w:pPr>
            <w:r w:rsidRPr="00D52FB7">
              <w:t>MIKULOV, UL. MLÝNSKÁ A POŠTOVNÍ</w:t>
            </w:r>
          </w:p>
          <w:p w14:paraId="44E00EA1" w14:textId="3A06FC36" w:rsidR="00F05D59" w:rsidRDefault="00D52FB7" w:rsidP="00F05D59">
            <w:pPr>
              <w:pStyle w:val="Projekt"/>
            </w:pPr>
            <w:r w:rsidRPr="00D52FB7">
              <w:t>–</w:t>
            </w:r>
            <w:r>
              <w:t xml:space="preserve"> </w:t>
            </w:r>
            <w:r w:rsidRPr="00D52FB7">
              <w:t>OPRAVA KOMUNIKACE</w:t>
            </w:r>
          </w:p>
          <w:p w14:paraId="629E163F" w14:textId="77777777" w:rsidR="00F05D59" w:rsidRDefault="00F05D59" w:rsidP="00F05D59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 w:rsidR="00107300">
              <w:rPr>
                <w:sz w:val="24"/>
                <w:szCs w:val="24"/>
              </w:rPr>
            </w:r>
            <w:r w:rsidR="00107300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65C84DF8" w14:textId="77777777" w:rsidR="00F05D59" w:rsidRDefault="00F05D59" w:rsidP="00F05D59">
            <w:pPr>
              <w:pStyle w:val="dajtabulky"/>
            </w:pPr>
          </w:p>
        </w:tc>
      </w:tr>
      <w:tr w:rsidR="00F05D59" w14:paraId="21922CA7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29CDED43" w14:textId="77777777" w:rsidR="00F05D59" w:rsidRDefault="00F05D59" w:rsidP="00F05D59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3E56D" w14:textId="77777777" w:rsidR="00F05D59" w:rsidRDefault="00F05D59" w:rsidP="00F05D59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02556862" w14:textId="77777777" w:rsidR="00F05D59" w:rsidRDefault="00F05D59" w:rsidP="00F05D59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05D59" w14:paraId="6E240D14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7FC7CD38" w14:textId="77777777" w:rsidR="00F05D59" w:rsidRDefault="00F05D59" w:rsidP="00F05D59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8EA49" w14:textId="77777777" w:rsidR="00F05D59" w:rsidRDefault="00F05D59" w:rsidP="00F05D59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9E0BF9E" w14:textId="77777777" w:rsidR="00F05D59" w:rsidRDefault="00F05D59" w:rsidP="00F05D59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05D59" w14:paraId="5A68DD37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8169BB1" w14:textId="77777777" w:rsidR="00F05D59" w:rsidRDefault="00F05D59" w:rsidP="00F05D59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FD701" w14:textId="77777777" w:rsidR="00F05D59" w:rsidRDefault="00F05D59" w:rsidP="00F05D59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3" w:name="Odd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80505" w14:textId="77777777" w:rsidR="00F05D59" w:rsidRDefault="00F05D59" w:rsidP="00F05D59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157591D9" w14:textId="77777777" w:rsidR="00F05D59" w:rsidRDefault="00F05D59" w:rsidP="00F05D59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05D59" w14:paraId="786C093E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3FB6758" w14:textId="77777777" w:rsidR="00F05D59" w:rsidRDefault="00F05D59" w:rsidP="00F05D59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83EB5" w14:textId="77777777" w:rsidR="00F05D59" w:rsidRDefault="00F05D59" w:rsidP="00F05D59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107300"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A983E" w14:textId="77777777" w:rsidR="00F05D59" w:rsidRDefault="00F05D59" w:rsidP="00F05D59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11BF7158" w14:textId="77777777" w:rsidR="00F05D59" w:rsidRDefault="00F05D59" w:rsidP="00F05D59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05D59" w14:paraId="1CDE18C8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63AB8C47" w14:textId="77777777" w:rsidR="00F05D59" w:rsidRDefault="00F05D59" w:rsidP="00F05D59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16A44" w14:textId="77777777" w:rsidR="00F05D59" w:rsidRDefault="00F05D59" w:rsidP="00F05D59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690D0" w14:textId="77777777" w:rsidR="00F05D59" w:rsidRDefault="00F05D59" w:rsidP="00F05D59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55AE5ACC" w14:textId="77777777" w:rsidR="00F05D59" w:rsidRDefault="00F05D59" w:rsidP="00F05D59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05D59" w14:paraId="3F961A6D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F696DE0" w14:textId="77777777" w:rsidR="00F05D59" w:rsidRDefault="00F05D59" w:rsidP="00F05D59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8ED36" w14:textId="77777777" w:rsidR="00F05D59" w:rsidRDefault="00F05D59" w:rsidP="00F05D59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10B5C" w14:textId="77777777" w:rsidR="00F05D59" w:rsidRDefault="00F05D59" w:rsidP="00F05D59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463D7AA0" w14:textId="77777777" w:rsidR="00F05D59" w:rsidRDefault="00F05D59" w:rsidP="00F05D59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05D59" w14:paraId="58D0FF78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7C809A51" w14:textId="77777777" w:rsidR="00F05D59" w:rsidRDefault="00F05D59" w:rsidP="00F05D59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CAD03A5" w14:textId="77777777" w:rsidR="00F05D59" w:rsidRDefault="00F05D59" w:rsidP="00F05D59">
            <w:pPr>
              <w:pStyle w:val="dajtabulky12"/>
            </w:pP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4471B246" w14:textId="77777777" w:rsidR="00F05D59" w:rsidRDefault="00F05D59" w:rsidP="00F05D59">
            <w:pPr>
              <w:pStyle w:val="dajtabulky"/>
              <w:jc w:val="right"/>
            </w:pPr>
            <w:r>
              <w:t>Souprava</w:t>
            </w:r>
          </w:p>
        </w:tc>
      </w:tr>
      <w:tr w:rsidR="00F05D59" w14:paraId="2C188821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64E588D7" w14:textId="77777777" w:rsidR="00F05D59" w:rsidRDefault="00F05D59" w:rsidP="00F05D59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54BF8FAC" w14:textId="77777777" w:rsidR="00F05D59" w:rsidRDefault="00F05D59" w:rsidP="00F05D59"/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53F7A515" w14:textId="77777777" w:rsidR="00F05D59" w:rsidRDefault="00F05D59" w:rsidP="00F05D59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5E84EA2C" w14:textId="77777777" w:rsidR="00F05D59" w:rsidRDefault="00F05D59" w:rsidP="00F05D59">
            <w:pPr>
              <w:pStyle w:val="Popisektabulky"/>
            </w:pPr>
            <w:r>
              <w:t>Revize</w:t>
            </w:r>
          </w:p>
        </w:tc>
      </w:tr>
      <w:tr w:rsidR="00F05D59" w14:paraId="15B8F6FE" w14:textId="77777777" w:rsidTr="00F05D59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442B3447" w14:textId="77777777" w:rsidR="00F05D59" w:rsidRDefault="00F05D59" w:rsidP="00F05D59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8815CE9" w14:textId="16B27782" w:rsidR="00F05D59" w:rsidRDefault="00F05D59" w:rsidP="00F05D59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PRŮVODNÍ ZPRÁVA"/>
                  </w:textInput>
                </w:ffData>
              </w:fldChar>
            </w:r>
            <w:bookmarkStart w:id="4" w:name="Priloh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PRŮVODNÍ ZPRÁVA</w:t>
            </w:r>
            <w:r>
              <w:fldChar w:fldCharType="end"/>
            </w:r>
            <w:bookmarkEnd w:id="4"/>
            <w:r w:rsidR="00634B19">
              <w:t xml:space="preserve"> – ETAPA 2</w:t>
            </w:r>
          </w:p>
        </w:tc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25D63DAC" w14:textId="5B9E21E6" w:rsidR="00F05D59" w:rsidRDefault="00F05D59" w:rsidP="00F05D59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5" w:name="Cislo_prilohy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5"/>
            <w:r w:rsidR="00E1587B">
              <w:t>.1</w:t>
            </w:r>
          </w:p>
        </w:tc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2708BFF6" w14:textId="0DD14121" w:rsidR="00F05D59" w:rsidRDefault="00814784" w:rsidP="00F05D59">
            <w:pPr>
              <w:pStyle w:val="dajtabulky14"/>
            </w:pPr>
            <w:r>
              <w:t>0</w:t>
            </w:r>
          </w:p>
        </w:tc>
      </w:tr>
      <w:bookmarkEnd w:id="0"/>
    </w:tbl>
    <w:p w14:paraId="73E831B5" w14:textId="77777777" w:rsidR="00F05D59" w:rsidRDefault="00F05D59" w:rsidP="00F05D59"/>
    <w:p w14:paraId="2DC7D8E0" w14:textId="77777777" w:rsidR="00F05D59" w:rsidRDefault="00F05D59" w:rsidP="00F05D59">
      <w:pPr>
        <w:sectPr w:rsidR="00F05D59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66D7E768" w14:textId="77777777" w:rsidR="00AB5A7C" w:rsidRDefault="00AB5A7C" w:rsidP="008922DA"/>
    <w:p w14:paraId="03D57F6A" w14:textId="77777777" w:rsidR="002B5E20" w:rsidRDefault="002B5E20" w:rsidP="008922DA"/>
    <w:p w14:paraId="3085B7F0" w14:textId="77777777" w:rsidR="00AB5A7C" w:rsidRDefault="00AB5A7C" w:rsidP="008922DA">
      <w:pPr>
        <w:sectPr w:rsidR="00AB5A7C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bookmarkStart w:id="6" w:name="_Hlk506547901"/>
    <w:p w14:paraId="3922B644" w14:textId="1CC31635" w:rsidR="0019363D" w:rsidRDefault="00853E8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 w:rsidRPr="00B208A3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lastRenderedPageBreak/>
        <w:fldChar w:fldCharType="begin"/>
      </w:r>
      <w:r w:rsidRPr="00B208A3">
        <w:rPr>
          <w:sz w:val="18"/>
        </w:rPr>
        <w:instrText xml:space="preserve"> TOC \o "1-3" \h \z \u </w:instrText>
      </w:r>
      <w:r w:rsidRPr="00B208A3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fldChar w:fldCharType="separate"/>
      </w:r>
      <w:hyperlink w:anchor="_Toc55577413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IDENTIFIKAČNÍ ÚDAJE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_Toc55577413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3</w:t>
        </w:r>
        <w:r w:rsidR="0019363D">
          <w:rPr>
            <w:noProof/>
            <w:webHidden/>
          </w:rPr>
          <w:fldChar w:fldCharType="end"/>
        </w:r>
      </w:hyperlink>
    </w:p>
    <w:p w14:paraId="0C0D383C" w14:textId="3314E7A5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17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ZÁKLADNÍ ÚDAJE O STAVBĚ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_Toc55577417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4</w:t>
        </w:r>
        <w:r w:rsidR="0019363D">
          <w:rPr>
            <w:noProof/>
            <w:webHidden/>
          </w:rPr>
          <w:fldChar w:fldCharType="end"/>
        </w:r>
      </w:hyperlink>
    </w:p>
    <w:p w14:paraId="7233181B" w14:textId="187240C0" w:rsidR="0019363D" w:rsidRDefault="001073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5577418" w:history="1">
        <w:r w:rsidR="0019363D" w:rsidRPr="00767D6C">
          <w:rPr>
            <w:rStyle w:val="Hypertextovodkaz"/>
          </w:rPr>
          <w:t>a)</w:t>
        </w:r>
        <w:r w:rsidR="0019363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9363D" w:rsidRPr="00767D6C">
          <w:rPr>
            <w:rStyle w:val="Hypertextovodkaz"/>
          </w:rPr>
          <w:t>Stručný popis navrženého řešení</w:t>
        </w:r>
        <w:r w:rsidR="0019363D">
          <w:rPr>
            <w:webHidden/>
          </w:rPr>
          <w:tab/>
        </w:r>
        <w:r w:rsidR="0019363D">
          <w:rPr>
            <w:webHidden/>
          </w:rPr>
          <w:fldChar w:fldCharType="begin"/>
        </w:r>
        <w:r w:rsidR="0019363D">
          <w:rPr>
            <w:webHidden/>
          </w:rPr>
          <w:instrText xml:space="preserve"> PAGEREF _Toc55577418 \h </w:instrText>
        </w:r>
        <w:r w:rsidR="0019363D">
          <w:rPr>
            <w:webHidden/>
          </w:rPr>
        </w:r>
        <w:r w:rsidR="0019363D">
          <w:rPr>
            <w:webHidden/>
          </w:rPr>
          <w:fldChar w:fldCharType="separate"/>
        </w:r>
        <w:r w:rsidR="0089235F">
          <w:rPr>
            <w:webHidden/>
          </w:rPr>
          <w:t>4</w:t>
        </w:r>
        <w:r w:rsidR="0019363D">
          <w:rPr>
            <w:webHidden/>
          </w:rPr>
          <w:fldChar w:fldCharType="end"/>
        </w:r>
      </w:hyperlink>
    </w:p>
    <w:p w14:paraId="2D30BA7F" w14:textId="4204A394" w:rsidR="0019363D" w:rsidRDefault="001073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5577419" w:history="1">
        <w:r w:rsidR="0019363D" w:rsidRPr="00767D6C">
          <w:rPr>
            <w:rStyle w:val="Hypertextovodkaz"/>
          </w:rPr>
          <w:t>b)</w:t>
        </w:r>
        <w:r w:rsidR="0019363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9363D" w:rsidRPr="00767D6C">
          <w:rPr>
            <w:rStyle w:val="Hypertextovodkaz"/>
          </w:rPr>
          <w:t>Předpokládaný průběh stavby</w:t>
        </w:r>
        <w:r w:rsidR="0019363D">
          <w:rPr>
            <w:webHidden/>
          </w:rPr>
          <w:tab/>
        </w:r>
        <w:r w:rsidR="0019363D">
          <w:rPr>
            <w:webHidden/>
          </w:rPr>
          <w:fldChar w:fldCharType="begin"/>
        </w:r>
        <w:r w:rsidR="0019363D">
          <w:rPr>
            <w:webHidden/>
          </w:rPr>
          <w:instrText xml:space="preserve"> PAGEREF _Toc55577419 \h </w:instrText>
        </w:r>
        <w:r w:rsidR="0019363D">
          <w:rPr>
            <w:webHidden/>
          </w:rPr>
        </w:r>
        <w:r w:rsidR="0019363D">
          <w:rPr>
            <w:webHidden/>
          </w:rPr>
          <w:fldChar w:fldCharType="separate"/>
        </w:r>
        <w:r w:rsidR="0089235F">
          <w:rPr>
            <w:webHidden/>
          </w:rPr>
          <w:t>4</w:t>
        </w:r>
        <w:r w:rsidR="0019363D">
          <w:rPr>
            <w:webHidden/>
          </w:rPr>
          <w:fldChar w:fldCharType="end"/>
        </w:r>
      </w:hyperlink>
    </w:p>
    <w:p w14:paraId="416F6930" w14:textId="1C9F6E12" w:rsidR="0019363D" w:rsidRDefault="001073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5577420" w:history="1">
        <w:r w:rsidR="0019363D" w:rsidRPr="00767D6C">
          <w:rPr>
            <w:rStyle w:val="Hypertextovodkaz"/>
          </w:rPr>
          <w:t>c)</w:t>
        </w:r>
        <w:r w:rsidR="0019363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9363D" w:rsidRPr="00767D6C">
          <w:rPr>
            <w:rStyle w:val="Hypertextovodkaz"/>
          </w:rPr>
          <w:t>Vazby na regulační plány, územní plán</w:t>
        </w:r>
        <w:r w:rsidR="0019363D">
          <w:rPr>
            <w:webHidden/>
          </w:rPr>
          <w:tab/>
        </w:r>
        <w:r w:rsidR="0019363D">
          <w:rPr>
            <w:webHidden/>
          </w:rPr>
          <w:fldChar w:fldCharType="begin"/>
        </w:r>
        <w:r w:rsidR="0019363D">
          <w:rPr>
            <w:webHidden/>
          </w:rPr>
          <w:instrText xml:space="preserve"> PAGEREF _Toc55577420 \h </w:instrText>
        </w:r>
        <w:r w:rsidR="0019363D">
          <w:rPr>
            <w:webHidden/>
          </w:rPr>
        </w:r>
        <w:r w:rsidR="0019363D">
          <w:rPr>
            <w:webHidden/>
          </w:rPr>
          <w:fldChar w:fldCharType="separate"/>
        </w:r>
        <w:r w:rsidR="0089235F">
          <w:rPr>
            <w:webHidden/>
          </w:rPr>
          <w:t>4</w:t>
        </w:r>
        <w:r w:rsidR="0019363D">
          <w:rPr>
            <w:webHidden/>
          </w:rPr>
          <w:fldChar w:fldCharType="end"/>
        </w:r>
      </w:hyperlink>
    </w:p>
    <w:p w14:paraId="6A23221D" w14:textId="7C44A77B" w:rsidR="0019363D" w:rsidRDefault="001073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5577421" w:history="1">
        <w:r w:rsidR="0019363D" w:rsidRPr="00767D6C">
          <w:rPr>
            <w:rStyle w:val="Hypertextovodkaz"/>
          </w:rPr>
          <w:t>d)</w:t>
        </w:r>
        <w:r w:rsidR="0019363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9363D" w:rsidRPr="00767D6C">
          <w:rPr>
            <w:rStyle w:val="Hypertextovodkaz"/>
          </w:rPr>
          <w:t>Vliv a dopad stavby a jejího provozu na okolí</w:t>
        </w:r>
        <w:r w:rsidR="0019363D">
          <w:rPr>
            <w:webHidden/>
          </w:rPr>
          <w:tab/>
        </w:r>
        <w:r w:rsidR="0019363D">
          <w:rPr>
            <w:webHidden/>
          </w:rPr>
          <w:fldChar w:fldCharType="begin"/>
        </w:r>
        <w:r w:rsidR="0019363D">
          <w:rPr>
            <w:webHidden/>
          </w:rPr>
          <w:instrText xml:space="preserve"> PAGEREF _Toc55577421 \h </w:instrText>
        </w:r>
        <w:r w:rsidR="0019363D">
          <w:rPr>
            <w:webHidden/>
          </w:rPr>
        </w:r>
        <w:r w:rsidR="0019363D">
          <w:rPr>
            <w:webHidden/>
          </w:rPr>
          <w:fldChar w:fldCharType="separate"/>
        </w:r>
        <w:r w:rsidR="0089235F">
          <w:rPr>
            <w:webHidden/>
          </w:rPr>
          <w:t>4</w:t>
        </w:r>
        <w:r w:rsidR="0019363D">
          <w:rPr>
            <w:webHidden/>
          </w:rPr>
          <w:fldChar w:fldCharType="end"/>
        </w:r>
      </w:hyperlink>
    </w:p>
    <w:p w14:paraId="60E09DE8" w14:textId="6F25730A" w:rsidR="0019363D" w:rsidRDefault="001073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5577422" w:history="1">
        <w:r w:rsidR="0019363D" w:rsidRPr="00767D6C">
          <w:rPr>
            <w:rStyle w:val="Hypertextovodkaz"/>
          </w:rPr>
          <w:t>e)</w:t>
        </w:r>
        <w:r w:rsidR="0019363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9363D" w:rsidRPr="00767D6C">
          <w:rPr>
            <w:rStyle w:val="Hypertextovodkaz"/>
          </w:rPr>
          <w:t>Seznam pozemků podle katastru nemovitostí, na kterých se stavba provádí</w:t>
        </w:r>
        <w:r w:rsidR="0019363D">
          <w:rPr>
            <w:webHidden/>
          </w:rPr>
          <w:tab/>
        </w:r>
        <w:r w:rsidR="0019363D">
          <w:rPr>
            <w:webHidden/>
          </w:rPr>
          <w:fldChar w:fldCharType="begin"/>
        </w:r>
        <w:r w:rsidR="0019363D">
          <w:rPr>
            <w:webHidden/>
          </w:rPr>
          <w:instrText xml:space="preserve"> PAGEREF _Toc55577422 \h </w:instrText>
        </w:r>
        <w:r w:rsidR="0019363D">
          <w:rPr>
            <w:webHidden/>
          </w:rPr>
        </w:r>
        <w:r w:rsidR="0019363D">
          <w:rPr>
            <w:webHidden/>
          </w:rPr>
          <w:fldChar w:fldCharType="separate"/>
        </w:r>
        <w:r w:rsidR="0089235F">
          <w:rPr>
            <w:webHidden/>
          </w:rPr>
          <w:t>4</w:t>
        </w:r>
        <w:r w:rsidR="0019363D">
          <w:rPr>
            <w:webHidden/>
          </w:rPr>
          <w:fldChar w:fldCharType="end"/>
        </w:r>
      </w:hyperlink>
    </w:p>
    <w:p w14:paraId="2416B249" w14:textId="4F862971" w:rsidR="0019363D" w:rsidRDefault="001073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5577423" w:history="1">
        <w:r w:rsidR="0019363D" w:rsidRPr="00767D6C">
          <w:rPr>
            <w:rStyle w:val="Hypertextovodkaz"/>
          </w:rPr>
          <w:t>f)</w:t>
        </w:r>
        <w:r w:rsidR="0019363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9363D" w:rsidRPr="00767D6C">
          <w:rPr>
            <w:rStyle w:val="Hypertextovodkaz"/>
          </w:rPr>
          <w:t>Seznam pozemků sousedících se stavbou podle katastru nemovitostí</w:t>
        </w:r>
        <w:r w:rsidR="0019363D">
          <w:rPr>
            <w:webHidden/>
          </w:rPr>
          <w:tab/>
        </w:r>
        <w:r w:rsidR="0019363D">
          <w:rPr>
            <w:webHidden/>
          </w:rPr>
          <w:fldChar w:fldCharType="begin"/>
        </w:r>
        <w:r w:rsidR="0019363D">
          <w:rPr>
            <w:webHidden/>
          </w:rPr>
          <w:instrText xml:space="preserve"> PAGEREF _Toc55577423 \h </w:instrText>
        </w:r>
        <w:r w:rsidR="0019363D">
          <w:rPr>
            <w:webHidden/>
          </w:rPr>
        </w:r>
        <w:r w:rsidR="0019363D">
          <w:rPr>
            <w:webHidden/>
          </w:rPr>
          <w:fldChar w:fldCharType="separate"/>
        </w:r>
        <w:r w:rsidR="0089235F">
          <w:rPr>
            <w:webHidden/>
          </w:rPr>
          <w:t>5</w:t>
        </w:r>
        <w:r w:rsidR="0019363D">
          <w:rPr>
            <w:webHidden/>
          </w:rPr>
          <w:fldChar w:fldCharType="end"/>
        </w:r>
      </w:hyperlink>
    </w:p>
    <w:p w14:paraId="15C26EAB" w14:textId="223D4F4C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24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PŘEHLED VÝCHOZÍCH PODKLADŮ A PRŮZKUMŮ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_Toc55577424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5</w:t>
        </w:r>
        <w:r w:rsidR="0019363D">
          <w:rPr>
            <w:noProof/>
            <w:webHidden/>
          </w:rPr>
          <w:fldChar w:fldCharType="end"/>
        </w:r>
      </w:hyperlink>
    </w:p>
    <w:p w14:paraId="5F1C48EC" w14:textId="0E550B09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25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ČLENĚNÍ STAVBY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_Toc55577425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5</w:t>
        </w:r>
        <w:r w:rsidR="0019363D">
          <w:rPr>
            <w:noProof/>
            <w:webHidden/>
          </w:rPr>
          <w:fldChar w:fldCharType="end"/>
        </w:r>
      </w:hyperlink>
    </w:p>
    <w:p w14:paraId="5B26656B" w14:textId="40CF043F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26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PODMÍNKY REALIZACE STAVBY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_Toc55577426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6</w:t>
        </w:r>
        <w:r w:rsidR="0019363D">
          <w:rPr>
            <w:noProof/>
            <w:webHidden/>
          </w:rPr>
          <w:fldChar w:fldCharType="end"/>
        </w:r>
      </w:hyperlink>
    </w:p>
    <w:p w14:paraId="346B47B1" w14:textId="5D745A53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31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PŘEHLED BUDOUCÍCH VLASTNÍKŮ A SPRÁVCŮ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_Toc55577431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7</w:t>
        </w:r>
        <w:r w:rsidR="0019363D">
          <w:rPr>
            <w:noProof/>
            <w:webHidden/>
          </w:rPr>
          <w:fldChar w:fldCharType="end"/>
        </w:r>
      </w:hyperlink>
    </w:p>
    <w:p w14:paraId="12AA2227" w14:textId="5C4ED15E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32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PŘEDÁVÁNÍ ČÁSTÍ STAVBY DO UŽÍVÁNÍ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_Toc55577432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7</w:t>
        </w:r>
        <w:r w:rsidR="0019363D">
          <w:rPr>
            <w:noProof/>
            <w:webHidden/>
          </w:rPr>
          <w:fldChar w:fldCharType="end"/>
        </w:r>
      </w:hyperlink>
    </w:p>
    <w:p w14:paraId="23ECE545" w14:textId="689E2FC8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33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SOUHRNNÝ TECHNICKÝ POPIS STAVBY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_Toc55577433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7</w:t>
        </w:r>
        <w:r w:rsidR="0019363D">
          <w:rPr>
            <w:noProof/>
            <w:webHidden/>
          </w:rPr>
          <w:fldChar w:fldCharType="end"/>
        </w:r>
      </w:hyperlink>
    </w:p>
    <w:p w14:paraId="3F56EC34" w14:textId="4CFEDFE3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41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VÝSLEDKY A ZÁVĚRY Z PODKLADŮ, PRŮZKUMŮ A MĚŘENÍ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_Toc55577441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9</w:t>
        </w:r>
        <w:r w:rsidR="0019363D">
          <w:rPr>
            <w:noProof/>
            <w:webHidden/>
          </w:rPr>
          <w:fldChar w:fldCharType="end"/>
        </w:r>
      </w:hyperlink>
    </w:p>
    <w:p w14:paraId="04B06FDE" w14:textId="4114A87C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42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DOTČENÁ OCHRANNÁ PÁSMA, CHRÁNĚNÁ ÚZEMÍ, SESUVNÁ ÚZEMÍ, KULTURNÍ PAMÁTKY, PAMÁTKOVÉ REZERVACE, PAMÁTKOVÉ ZÓNY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_Toc55577442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9</w:t>
        </w:r>
        <w:r w:rsidR="0019363D">
          <w:rPr>
            <w:noProof/>
            <w:webHidden/>
          </w:rPr>
          <w:fldChar w:fldCharType="end"/>
        </w:r>
      </w:hyperlink>
    </w:p>
    <w:p w14:paraId="7FC05D7A" w14:textId="59C8EBD9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43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ZÁSAH STAVBY DO ÚZEMÍ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_Toc55577443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9</w:t>
        </w:r>
        <w:r w:rsidR="0019363D">
          <w:rPr>
            <w:noProof/>
            <w:webHidden/>
          </w:rPr>
          <w:fldChar w:fldCharType="end"/>
        </w:r>
      </w:hyperlink>
    </w:p>
    <w:p w14:paraId="11CF1C9D" w14:textId="422D16A1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44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NÁROKY STAVBY NA ZDROJE A JEJÍ POTŘEBY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_Toc55577444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9</w:t>
        </w:r>
        <w:r w:rsidR="0019363D">
          <w:rPr>
            <w:noProof/>
            <w:webHidden/>
          </w:rPr>
          <w:fldChar w:fldCharType="end"/>
        </w:r>
      </w:hyperlink>
    </w:p>
    <w:p w14:paraId="51898049" w14:textId="1ADECE4D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45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13.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VLIV STAVBY A PROVOZU NA PK NA ZDRAVÍ A ŽIVOTNÍ PROSTŘEDÍ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_Toc55577445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9</w:t>
        </w:r>
        <w:r w:rsidR="0019363D">
          <w:rPr>
            <w:noProof/>
            <w:webHidden/>
          </w:rPr>
          <w:fldChar w:fldCharType="end"/>
        </w:r>
      </w:hyperlink>
    </w:p>
    <w:p w14:paraId="0A6860C7" w14:textId="34F4ED8C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52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14.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OBECNÉ POŽADAVKY NA BEZPEČNOST A UŽITNÉ VLASTNOSTI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_Toc55577452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11</w:t>
        </w:r>
        <w:r w:rsidR="0019363D">
          <w:rPr>
            <w:noProof/>
            <w:webHidden/>
          </w:rPr>
          <w:fldChar w:fldCharType="end"/>
        </w:r>
      </w:hyperlink>
    </w:p>
    <w:p w14:paraId="61556F22" w14:textId="5D6525AF" w:rsidR="0019363D" w:rsidRDefault="001073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5577453" w:history="1">
        <w:r w:rsidR="0019363D" w:rsidRPr="00767D6C">
          <w:rPr>
            <w:rStyle w:val="Hypertextovodkaz"/>
          </w:rPr>
          <w:t>a)</w:t>
        </w:r>
        <w:r w:rsidR="0019363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9363D" w:rsidRPr="00767D6C">
          <w:rPr>
            <w:rStyle w:val="Hypertextovodkaz"/>
          </w:rPr>
          <w:t>Požární bezpečnost</w:t>
        </w:r>
        <w:r w:rsidR="0019363D">
          <w:rPr>
            <w:webHidden/>
          </w:rPr>
          <w:tab/>
        </w:r>
        <w:r w:rsidR="0019363D">
          <w:rPr>
            <w:webHidden/>
          </w:rPr>
          <w:fldChar w:fldCharType="begin"/>
        </w:r>
        <w:r w:rsidR="0019363D">
          <w:rPr>
            <w:webHidden/>
          </w:rPr>
          <w:instrText xml:space="preserve"> PAGEREF _Toc55577453 \h </w:instrText>
        </w:r>
        <w:r w:rsidR="0019363D">
          <w:rPr>
            <w:webHidden/>
          </w:rPr>
        </w:r>
        <w:r w:rsidR="0019363D">
          <w:rPr>
            <w:webHidden/>
          </w:rPr>
          <w:fldChar w:fldCharType="separate"/>
        </w:r>
        <w:r w:rsidR="0089235F">
          <w:rPr>
            <w:webHidden/>
          </w:rPr>
          <w:t>11</w:t>
        </w:r>
        <w:r w:rsidR="0019363D">
          <w:rPr>
            <w:webHidden/>
          </w:rPr>
          <w:fldChar w:fldCharType="end"/>
        </w:r>
      </w:hyperlink>
    </w:p>
    <w:p w14:paraId="25955813" w14:textId="5193BA64" w:rsidR="0019363D" w:rsidRDefault="001073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5577454" w:history="1">
        <w:r w:rsidR="0019363D" w:rsidRPr="00767D6C">
          <w:rPr>
            <w:rStyle w:val="Hypertextovodkaz"/>
          </w:rPr>
          <w:t>b)</w:t>
        </w:r>
        <w:r w:rsidR="0019363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9363D" w:rsidRPr="00767D6C">
          <w:rPr>
            <w:rStyle w:val="Hypertextovodkaz"/>
          </w:rPr>
          <w:t>Bezpečnost při užívání</w:t>
        </w:r>
        <w:r w:rsidR="0019363D">
          <w:rPr>
            <w:webHidden/>
          </w:rPr>
          <w:tab/>
        </w:r>
        <w:r w:rsidR="0019363D">
          <w:rPr>
            <w:webHidden/>
          </w:rPr>
          <w:fldChar w:fldCharType="begin"/>
        </w:r>
        <w:r w:rsidR="0019363D">
          <w:rPr>
            <w:webHidden/>
          </w:rPr>
          <w:instrText xml:space="preserve"> PAGEREF _Toc55577454 \h </w:instrText>
        </w:r>
        <w:r w:rsidR="0019363D">
          <w:rPr>
            <w:webHidden/>
          </w:rPr>
        </w:r>
        <w:r w:rsidR="0019363D">
          <w:rPr>
            <w:webHidden/>
          </w:rPr>
          <w:fldChar w:fldCharType="separate"/>
        </w:r>
        <w:r w:rsidR="0089235F">
          <w:rPr>
            <w:webHidden/>
          </w:rPr>
          <w:t>11</w:t>
        </w:r>
        <w:r w:rsidR="0019363D">
          <w:rPr>
            <w:webHidden/>
          </w:rPr>
          <w:fldChar w:fldCharType="end"/>
        </w:r>
      </w:hyperlink>
    </w:p>
    <w:p w14:paraId="6D6099E1" w14:textId="589F2E01" w:rsidR="0019363D" w:rsidRDefault="0010730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5577455" w:history="1">
        <w:r w:rsidR="0019363D" w:rsidRPr="00767D6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15.</w:t>
        </w:r>
        <w:r w:rsidR="0019363D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19363D" w:rsidRPr="00767D6C">
          <w:rPr>
            <w:rStyle w:val="Hypertextovodkaz"/>
            <w:noProof/>
          </w:rPr>
          <w:t>DALŠÍ POŽADAVKY</w:t>
        </w:r>
        <w:r w:rsidR="0019363D">
          <w:rPr>
            <w:noProof/>
            <w:webHidden/>
          </w:rPr>
          <w:tab/>
        </w:r>
        <w:r w:rsidR="0019363D">
          <w:rPr>
            <w:noProof/>
            <w:webHidden/>
          </w:rPr>
          <w:fldChar w:fldCharType="begin"/>
        </w:r>
        <w:r w:rsidR="0019363D">
          <w:rPr>
            <w:noProof/>
            <w:webHidden/>
          </w:rPr>
          <w:instrText xml:space="preserve"> PAGEREF _Toc55577455 \h </w:instrText>
        </w:r>
        <w:r w:rsidR="0019363D">
          <w:rPr>
            <w:noProof/>
            <w:webHidden/>
          </w:rPr>
        </w:r>
        <w:r w:rsidR="0019363D">
          <w:rPr>
            <w:noProof/>
            <w:webHidden/>
          </w:rPr>
          <w:fldChar w:fldCharType="separate"/>
        </w:r>
        <w:r w:rsidR="0089235F">
          <w:rPr>
            <w:noProof/>
            <w:webHidden/>
          </w:rPr>
          <w:t>11</w:t>
        </w:r>
        <w:r w:rsidR="0019363D">
          <w:rPr>
            <w:noProof/>
            <w:webHidden/>
          </w:rPr>
          <w:fldChar w:fldCharType="end"/>
        </w:r>
      </w:hyperlink>
    </w:p>
    <w:p w14:paraId="6E183219" w14:textId="2DFC49CC" w:rsidR="009F5441" w:rsidRDefault="00853E84" w:rsidP="00AC58DD">
      <w:r w:rsidRPr="00B208A3">
        <w:rPr>
          <w:b/>
          <w:bCs/>
          <w:sz w:val="18"/>
        </w:rPr>
        <w:fldChar w:fldCharType="end"/>
      </w:r>
      <w:bookmarkStart w:id="7" w:name="_Toc118631879"/>
    </w:p>
    <w:p w14:paraId="5C9ADC15" w14:textId="77777777" w:rsidR="00F44B41" w:rsidRDefault="00F44B41">
      <w:pPr>
        <w:rPr>
          <w:b/>
          <w:bCs/>
          <w:color w:val="595959" w:themeColor="text1" w:themeTint="A6"/>
          <w:kern w:val="32"/>
          <w:sz w:val="28"/>
          <w:szCs w:val="28"/>
        </w:rPr>
      </w:pPr>
      <w:bookmarkStart w:id="8" w:name="_Toc55577413"/>
      <w:bookmarkEnd w:id="7"/>
      <w:r>
        <w:br w:type="page"/>
      </w:r>
    </w:p>
    <w:p w14:paraId="00D0697B" w14:textId="77777777" w:rsidR="00F44B41" w:rsidRDefault="00F44B41" w:rsidP="00634B19">
      <w:pPr>
        <w:pStyle w:val="Nadpis1"/>
        <w:numPr>
          <w:ilvl w:val="0"/>
          <w:numId w:val="0"/>
        </w:numPr>
        <w:jc w:val="right"/>
      </w:pPr>
    </w:p>
    <w:p w14:paraId="3146D8BA" w14:textId="327D9BB5" w:rsidR="00AB5A7C" w:rsidRDefault="008F7307" w:rsidP="000B39C9">
      <w:pPr>
        <w:pStyle w:val="Nadpis1"/>
      </w:pPr>
      <w:r>
        <w:t>IDENTIFIKAČNÍ ÚDAJE</w:t>
      </w:r>
      <w:bookmarkEnd w:id="8"/>
    </w:p>
    <w:p w14:paraId="05F523ED" w14:textId="77777777" w:rsidR="00AB5A7C" w:rsidRPr="008F7307" w:rsidRDefault="008F7307" w:rsidP="00C5039C">
      <w:pPr>
        <w:pStyle w:val="Nadpis2"/>
      </w:pPr>
      <w:bookmarkStart w:id="9" w:name="_Toc55577414"/>
      <w:r w:rsidRPr="008F7307">
        <w:t>Označení stavby</w:t>
      </w:r>
      <w:bookmarkEnd w:id="9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8F7307" w:rsidRPr="008F7307" w14:paraId="5673D627" w14:textId="77777777" w:rsidTr="008F7307">
        <w:trPr>
          <w:cantSplit/>
        </w:trPr>
        <w:tc>
          <w:tcPr>
            <w:tcW w:w="2410" w:type="dxa"/>
          </w:tcPr>
          <w:p w14:paraId="286FF219" w14:textId="77777777" w:rsidR="008F7307" w:rsidRPr="008F7307" w:rsidRDefault="008F7307" w:rsidP="00DB43F0">
            <w:r w:rsidRPr="008F7307">
              <w:t>Název stavby:</w:t>
            </w:r>
          </w:p>
        </w:tc>
        <w:tc>
          <w:tcPr>
            <w:tcW w:w="7229" w:type="dxa"/>
          </w:tcPr>
          <w:p w14:paraId="69A768FE" w14:textId="77777777" w:rsidR="008F7307" w:rsidRPr="008F7307" w:rsidRDefault="008F7307" w:rsidP="00F05D59">
            <w:bookmarkStart w:id="10" w:name="_Hlk103153870"/>
            <w:r w:rsidRPr="008F7307">
              <w:t xml:space="preserve">MIKULOV, UL. </w:t>
            </w:r>
            <w:r w:rsidR="00F05D59">
              <w:t>MLÝNSKÁ A POŠTOVNÍ</w:t>
            </w:r>
            <w:r w:rsidRPr="008F7307">
              <w:t xml:space="preserve"> – OPRAVA KOMUNIKACE</w:t>
            </w:r>
            <w:bookmarkEnd w:id="10"/>
          </w:p>
        </w:tc>
      </w:tr>
      <w:tr w:rsidR="008F7307" w:rsidRPr="008F7307" w14:paraId="45E00FB2" w14:textId="77777777" w:rsidTr="008F7307">
        <w:trPr>
          <w:cantSplit/>
        </w:trPr>
        <w:tc>
          <w:tcPr>
            <w:tcW w:w="2410" w:type="dxa"/>
          </w:tcPr>
          <w:p w14:paraId="34EB7601" w14:textId="77777777" w:rsidR="008F7307" w:rsidRPr="008F7307" w:rsidRDefault="008F7307" w:rsidP="00DB43F0">
            <w:r w:rsidRPr="008F7307">
              <w:t>Stupeň dokumentace:</w:t>
            </w:r>
          </w:p>
        </w:tc>
        <w:tc>
          <w:tcPr>
            <w:tcW w:w="7229" w:type="dxa"/>
          </w:tcPr>
          <w:p w14:paraId="481AC40D" w14:textId="52BD939B" w:rsidR="008F7307" w:rsidRPr="00854761" w:rsidRDefault="008F7307" w:rsidP="00E43ABA">
            <w:pPr>
              <w:rPr>
                <w:bCs/>
              </w:rPr>
            </w:pPr>
            <w:r w:rsidRPr="00854761">
              <w:rPr>
                <w:bCs/>
              </w:rPr>
              <w:fldChar w:fldCharType="begin"/>
            </w:r>
            <w:r w:rsidRPr="00854761">
              <w:rPr>
                <w:bCs/>
              </w:rPr>
              <w:instrText xml:space="preserve"> REF  Stupen \h  \* MERGEFORMAT </w:instrText>
            </w:r>
            <w:r w:rsidRPr="00854761">
              <w:rPr>
                <w:bCs/>
              </w:rPr>
            </w:r>
            <w:r w:rsidRPr="00854761">
              <w:rPr>
                <w:bCs/>
              </w:rPr>
              <w:fldChar w:fldCharType="separate"/>
            </w:r>
            <w:r w:rsidR="00834DC0" w:rsidRPr="00854761">
              <w:rPr>
                <w:bCs/>
              </w:rPr>
              <w:t>DSP+PDPS</w:t>
            </w:r>
            <w:r w:rsidRPr="00854761">
              <w:rPr>
                <w:bCs/>
              </w:rPr>
              <w:fldChar w:fldCharType="end"/>
            </w:r>
          </w:p>
        </w:tc>
      </w:tr>
      <w:tr w:rsidR="008F7307" w:rsidRPr="008F7307" w14:paraId="04E50760" w14:textId="77777777" w:rsidTr="008F7307">
        <w:trPr>
          <w:cantSplit/>
        </w:trPr>
        <w:tc>
          <w:tcPr>
            <w:tcW w:w="2410" w:type="dxa"/>
          </w:tcPr>
          <w:p w14:paraId="3FC70BDC" w14:textId="77777777" w:rsidR="008F7307" w:rsidRPr="008F7307" w:rsidRDefault="008F7307" w:rsidP="00DB43F0">
            <w:r w:rsidRPr="008F7307">
              <w:t>Místo stavby:</w:t>
            </w:r>
          </w:p>
        </w:tc>
        <w:tc>
          <w:tcPr>
            <w:tcW w:w="7229" w:type="dxa"/>
          </w:tcPr>
          <w:p w14:paraId="521EDBD9" w14:textId="77777777" w:rsidR="008F7307" w:rsidRPr="008F7307" w:rsidRDefault="008F7307" w:rsidP="00DB43F0">
            <w:r w:rsidRPr="008F7307">
              <w:t>Mikulov</w:t>
            </w:r>
          </w:p>
        </w:tc>
      </w:tr>
      <w:tr w:rsidR="008F7307" w:rsidRPr="008F7307" w14:paraId="2857B583" w14:textId="77777777" w:rsidTr="008F7307">
        <w:trPr>
          <w:cantSplit/>
        </w:trPr>
        <w:tc>
          <w:tcPr>
            <w:tcW w:w="2410" w:type="dxa"/>
          </w:tcPr>
          <w:p w14:paraId="6158A4CC" w14:textId="77777777" w:rsidR="008F7307" w:rsidRPr="008F7307" w:rsidRDefault="008F7307" w:rsidP="00DB43F0">
            <w:r w:rsidRPr="008F7307">
              <w:t>Kraj:</w:t>
            </w:r>
          </w:p>
        </w:tc>
        <w:tc>
          <w:tcPr>
            <w:tcW w:w="7229" w:type="dxa"/>
          </w:tcPr>
          <w:p w14:paraId="20B7056C" w14:textId="77777777" w:rsidR="008F7307" w:rsidRPr="008F7307" w:rsidRDefault="008F7307" w:rsidP="00DB43F0">
            <w:r w:rsidRPr="008F7307">
              <w:t>Jihomoravský</w:t>
            </w:r>
          </w:p>
        </w:tc>
      </w:tr>
      <w:tr w:rsidR="008F7307" w:rsidRPr="008F7307" w14:paraId="1A737306" w14:textId="77777777" w:rsidTr="008F7307">
        <w:trPr>
          <w:cantSplit/>
        </w:trPr>
        <w:tc>
          <w:tcPr>
            <w:tcW w:w="2410" w:type="dxa"/>
          </w:tcPr>
          <w:p w14:paraId="47DB1BAF" w14:textId="77777777" w:rsidR="008F7307" w:rsidRPr="008F7307" w:rsidRDefault="008F7307" w:rsidP="00DB43F0">
            <w:r w:rsidRPr="008F7307">
              <w:t>Okres:</w:t>
            </w:r>
          </w:p>
        </w:tc>
        <w:tc>
          <w:tcPr>
            <w:tcW w:w="7229" w:type="dxa"/>
          </w:tcPr>
          <w:p w14:paraId="3BC1F226" w14:textId="77777777" w:rsidR="008F7307" w:rsidRPr="008F7307" w:rsidRDefault="008F7307" w:rsidP="00DB43F0">
            <w:r w:rsidRPr="008F7307">
              <w:t>Břeclav</w:t>
            </w:r>
          </w:p>
        </w:tc>
      </w:tr>
      <w:tr w:rsidR="008F7307" w:rsidRPr="008F7307" w14:paraId="4DE778BA" w14:textId="77777777" w:rsidTr="008F7307">
        <w:trPr>
          <w:cantSplit/>
        </w:trPr>
        <w:tc>
          <w:tcPr>
            <w:tcW w:w="2410" w:type="dxa"/>
          </w:tcPr>
          <w:p w14:paraId="5A107123" w14:textId="77777777" w:rsidR="008F7307" w:rsidRPr="008F7307" w:rsidRDefault="008F7307" w:rsidP="00DB43F0">
            <w:r w:rsidRPr="008F7307">
              <w:t>Katastrální území:</w:t>
            </w:r>
          </w:p>
        </w:tc>
        <w:tc>
          <w:tcPr>
            <w:tcW w:w="7229" w:type="dxa"/>
          </w:tcPr>
          <w:p w14:paraId="43D14240" w14:textId="77777777" w:rsidR="008F7307" w:rsidRPr="008F7307" w:rsidRDefault="008F7307" w:rsidP="00DB43F0">
            <w:r w:rsidRPr="008F7307">
              <w:t>Mikulov na Moravě (okres Břeclav); 694193</w:t>
            </w:r>
          </w:p>
        </w:tc>
      </w:tr>
      <w:tr w:rsidR="008F7307" w:rsidRPr="008F7307" w14:paraId="57924FF4" w14:textId="77777777" w:rsidTr="008F7307">
        <w:trPr>
          <w:cantSplit/>
        </w:trPr>
        <w:tc>
          <w:tcPr>
            <w:tcW w:w="2410" w:type="dxa"/>
          </w:tcPr>
          <w:p w14:paraId="440F4B7D" w14:textId="77777777" w:rsidR="008F7307" w:rsidRPr="008F7307" w:rsidRDefault="008F7307" w:rsidP="00DB43F0">
            <w:r w:rsidRPr="008F7307">
              <w:t>Odvětví:</w:t>
            </w:r>
          </w:p>
        </w:tc>
        <w:tc>
          <w:tcPr>
            <w:tcW w:w="7229" w:type="dxa"/>
          </w:tcPr>
          <w:p w14:paraId="19CFE509" w14:textId="77777777" w:rsidR="008F7307" w:rsidRPr="008F7307" w:rsidRDefault="008F7307" w:rsidP="00E43ABA">
            <w:bookmarkStart w:id="11" w:name="odvetvi_projektu"/>
            <w:r w:rsidRPr="008F7307">
              <w:t>Dopravní stavby</w:t>
            </w:r>
            <w:r w:rsidRPr="008F7307">
              <w:fldChar w:fldCharType="begin">
                <w:ffData>
                  <w:name w:val="odvetvi_projektu"/>
                  <w:enabled/>
                  <w:calcOnExit w:val="0"/>
                  <w:textInput/>
                </w:ffData>
              </w:fldChar>
            </w:r>
            <w:r w:rsidRPr="008F7307">
              <w:instrText xml:space="preserve"> FORMTEXT </w:instrText>
            </w:r>
            <w:r w:rsidR="00107300">
              <w:fldChar w:fldCharType="separate"/>
            </w:r>
            <w:r w:rsidRPr="008F7307">
              <w:fldChar w:fldCharType="end"/>
            </w:r>
            <w:bookmarkEnd w:id="11"/>
          </w:p>
        </w:tc>
      </w:tr>
      <w:tr w:rsidR="008F7307" w:rsidRPr="008F7307" w14:paraId="4622C99A" w14:textId="77777777" w:rsidTr="008F7307">
        <w:trPr>
          <w:cantSplit/>
        </w:trPr>
        <w:tc>
          <w:tcPr>
            <w:tcW w:w="2410" w:type="dxa"/>
          </w:tcPr>
          <w:p w14:paraId="23121AA2" w14:textId="77777777" w:rsidR="008F7307" w:rsidRPr="008F7307" w:rsidRDefault="008F7307" w:rsidP="008F7307">
            <w:r w:rsidRPr="008F7307">
              <w:t>Charakter stavby:</w:t>
            </w:r>
          </w:p>
        </w:tc>
        <w:tc>
          <w:tcPr>
            <w:tcW w:w="7229" w:type="dxa"/>
          </w:tcPr>
          <w:p w14:paraId="08948E46" w14:textId="77777777" w:rsidR="008F7307" w:rsidRPr="008F7307" w:rsidRDefault="008F7307" w:rsidP="008F7307">
            <w:r w:rsidRPr="008F7307">
              <w:t>Rekonstrukce komunikace</w:t>
            </w:r>
          </w:p>
        </w:tc>
      </w:tr>
    </w:tbl>
    <w:p w14:paraId="3F9CFF4C" w14:textId="77777777" w:rsidR="00AB5A7C" w:rsidRPr="008F7307" w:rsidRDefault="008F7307" w:rsidP="00C5039C">
      <w:pPr>
        <w:pStyle w:val="Nadpis2"/>
      </w:pPr>
      <w:bookmarkStart w:id="12" w:name="_Toc55577415"/>
      <w:r w:rsidRPr="008F7307">
        <w:t xml:space="preserve">Stavebník </w:t>
      </w:r>
      <w:r w:rsidR="003572D5" w:rsidRPr="008F7307">
        <w:t>nebo objednatel stavby</w:t>
      </w:r>
      <w:bookmarkEnd w:id="12"/>
    </w:p>
    <w:tbl>
      <w:tblPr>
        <w:tblW w:w="96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7217"/>
      </w:tblGrid>
      <w:tr w:rsidR="00AB5A7C" w:rsidRPr="008F7307" w14:paraId="4C47FA76" w14:textId="77777777" w:rsidTr="00197FC2">
        <w:trPr>
          <w:trHeight w:val="181"/>
        </w:trPr>
        <w:tc>
          <w:tcPr>
            <w:tcW w:w="2405" w:type="dxa"/>
          </w:tcPr>
          <w:p w14:paraId="04FAE519" w14:textId="77777777" w:rsidR="00AB5A7C" w:rsidRPr="008F7307" w:rsidRDefault="003572D5" w:rsidP="003572D5">
            <w:r w:rsidRPr="008F7307">
              <w:t>Objednatel</w:t>
            </w:r>
            <w:r w:rsidR="00853E84" w:rsidRPr="008F7307">
              <w:t>:</w:t>
            </w:r>
          </w:p>
        </w:tc>
        <w:tc>
          <w:tcPr>
            <w:tcW w:w="7217" w:type="dxa"/>
          </w:tcPr>
          <w:p w14:paraId="2833A56F" w14:textId="77777777" w:rsidR="00AB5A7C" w:rsidRPr="008F7307" w:rsidRDefault="00E43ABA" w:rsidP="00D741AB">
            <w:r w:rsidRPr="008F7307">
              <w:t>Město Mikulov</w:t>
            </w:r>
          </w:p>
          <w:p w14:paraId="605E5363" w14:textId="77777777" w:rsidR="007E016D" w:rsidRPr="008F7307" w:rsidRDefault="00E43ABA" w:rsidP="007E016D">
            <w:r w:rsidRPr="008F7307">
              <w:t>Náměstí 158/1</w:t>
            </w:r>
          </w:p>
          <w:p w14:paraId="1DB1E26C" w14:textId="77777777" w:rsidR="001E35FB" w:rsidRPr="008F7307" w:rsidRDefault="00E43ABA" w:rsidP="007E016D">
            <w:r w:rsidRPr="008F7307">
              <w:t>692 01 Mikulov</w:t>
            </w:r>
          </w:p>
        </w:tc>
      </w:tr>
    </w:tbl>
    <w:p w14:paraId="006067AC" w14:textId="77777777" w:rsidR="00AB5A7C" w:rsidRPr="008F7307" w:rsidRDefault="003A21E0" w:rsidP="00C5039C">
      <w:pPr>
        <w:pStyle w:val="Nadpis2"/>
      </w:pPr>
      <w:bookmarkStart w:id="13" w:name="_Toc507680894"/>
      <w:bookmarkStart w:id="14" w:name="_Toc507682630"/>
      <w:bookmarkStart w:id="15" w:name="_Toc507682754"/>
      <w:bookmarkStart w:id="16" w:name="_Toc507687969"/>
      <w:bookmarkStart w:id="17" w:name="_Toc507742428"/>
      <w:bookmarkStart w:id="18" w:name="_Toc507746089"/>
      <w:bookmarkStart w:id="19" w:name="_Toc507747670"/>
      <w:bookmarkStart w:id="20" w:name="_Toc55577416"/>
      <w:r w:rsidRPr="008F7307">
        <w:t>P</w:t>
      </w:r>
      <w:r w:rsidR="00C9754B" w:rsidRPr="008F7307">
        <w:t>rojektant</w:t>
      </w:r>
      <w:r w:rsidRPr="008F7307">
        <w:t xml:space="preserve"> nebo zhotovitel projektové dokumentace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AB5A7C" w:rsidRPr="000349F6" w14:paraId="1B8BEF94" w14:textId="77777777">
        <w:trPr>
          <w:trHeight w:val="397"/>
        </w:trPr>
        <w:tc>
          <w:tcPr>
            <w:tcW w:w="2410" w:type="dxa"/>
          </w:tcPr>
          <w:p w14:paraId="0D75ED0E" w14:textId="77777777" w:rsidR="00AB5A7C" w:rsidRPr="008F7307" w:rsidRDefault="00853E84" w:rsidP="00D741AB">
            <w:r w:rsidRPr="008F7307">
              <w:t>Zhotovitel dokumentace:</w:t>
            </w:r>
          </w:p>
        </w:tc>
        <w:tc>
          <w:tcPr>
            <w:tcW w:w="7229" w:type="dxa"/>
          </w:tcPr>
          <w:p w14:paraId="0013F514" w14:textId="77777777" w:rsidR="00B52F8D" w:rsidRPr="008F7307" w:rsidRDefault="003A21E0" w:rsidP="00B52F8D">
            <w:r w:rsidRPr="008F7307">
              <w:t xml:space="preserve">SILNIČNÍ PROJEKT </w:t>
            </w:r>
            <w:r w:rsidR="00B52F8D" w:rsidRPr="008F7307">
              <w:t>s.r.o.</w:t>
            </w:r>
          </w:p>
          <w:p w14:paraId="18ADAA96" w14:textId="77777777" w:rsidR="00AB5A7C" w:rsidRPr="008F7307" w:rsidRDefault="00B52F8D" w:rsidP="00B52F8D">
            <w:r w:rsidRPr="008F7307">
              <w:t>Palackého tř</w:t>
            </w:r>
            <w:r w:rsidR="00FE0314" w:rsidRPr="008F7307">
              <w:t>ída</w:t>
            </w:r>
            <w:r w:rsidRPr="008F7307">
              <w:t xml:space="preserve"> 12, 612 00 Brno</w:t>
            </w:r>
          </w:p>
          <w:p w14:paraId="5975E981" w14:textId="77777777" w:rsidR="00671815" w:rsidRPr="008F7307" w:rsidRDefault="00671815" w:rsidP="00B52F8D">
            <w:r w:rsidRPr="008F7307">
              <w:t>IČ: 469 68</w:t>
            </w:r>
            <w:r w:rsidR="00F41118" w:rsidRPr="008F7307">
              <w:t xml:space="preserve"> </w:t>
            </w:r>
            <w:r w:rsidRPr="008F7307">
              <w:t>822</w:t>
            </w:r>
          </w:p>
        </w:tc>
      </w:tr>
    </w:tbl>
    <w:p w14:paraId="6272C1F4" w14:textId="77777777" w:rsidR="00AB5A7C" w:rsidRPr="000349F6" w:rsidRDefault="00AB5A7C" w:rsidP="00990FA7">
      <w:pPr>
        <w:rPr>
          <w:highlight w:val="yellow"/>
        </w:rPr>
      </w:pPr>
    </w:p>
    <w:p w14:paraId="67878887" w14:textId="77777777" w:rsidR="00AB5A7C" w:rsidRPr="000349F6" w:rsidRDefault="00853E84" w:rsidP="003B113F">
      <w:pPr>
        <w:pStyle w:val="AqpText"/>
        <w:rPr>
          <w:highlight w:val="yellow"/>
        </w:rPr>
      </w:pPr>
      <w:r w:rsidRPr="000349F6">
        <w:rPr>
          <w:highlight w:val="yellow"/>
        </w:rPr>
        <w:br w:type="page"/>
      </w:r>
    </w:p>
    <w:p w14:paraId="558D898B" w14:textId="77777777" w:rsidR="008F7307" w:rsidRPr="008D335B" w:rsidRDefault="008F7307" w:rsidP="000B39C9">
      <w:pPr>
        <w:pStyle w:val="Nadpis1"/>
      </w:pPr>
      <w:bookmarkStart w:id="21" w:name="_Toc55577417"/>
      <w:r w:rsidRPr="008D335B">
        <w:lastRenderedPageBreak/>
        <w:t>ZÁKLADNÍ ÚDAJE O STAVBĚ</w:t>
      </w:r>
      <w:bookmarkEnd w:id="21"/>
    </w:p>
    <w:p w14:paraId="31E285EB" w14:textId="77777777" w:rsidR="00AB5A7C" w:rsidRPr="00F05D59" w:rsidRDefault="00B90CFD" w:rsidP="00753217">
      <w:pPr>
        <w:pStyle w:val="Nadpis2"/>
        <w:numPr>
          <w:ilvl w:val="0"/>
          <w:numId w:val="45"/>
        </w:numPr>
      </w:pPr>
      <w:bookmarkStart w:id="22" w:name="_Toc55577418"/>
      <w:r w:rsidRPr="00F05D59">
        <w:t>Stručný</w:t>
      </w:r>
      <w:r w:rsidR="003B52FF" w:rsidRPr="00F05D59">
        <w:t xml:space="preserve"> </w:t>
      </w:r>
      <w:r w:rsidRPr="00F05D59">
        <w:t xml:space="preserve">popis </w:t>
      </w:r>
      <w:r w:rsidR="003B52FF" w:rsidRPr="00F05D59">
        <w:t>navrženého řešení</w:t>
      </w:r>
      <w:bookmarkEnd w:id="22"/>
    </w:p>
    <w:p w14:paraId="5A385BD7" w14:textId="4EE34777" w:rsidR="00F05D59" w:rsidRPr="007E5846" w:rsidRDefault="00364D2F" w:rsidP="00F05D59">
      <w:pPr>
        <w:pStyle w:val="AqpText"/>
      </w:pPr>
      <w:r w:rsidRPr="007E5846">
        <w:t>V rámci tohoto dodatku k pro</w:t>
      </w:r>
      <w:r w:rsidR="00DF510C" w:rsidRPr="007E5846">
        <w:t>jektov</w:t>
      </w:r>
      <w:r w:rsidRPr="007E5846">
        <w:t>é</w:t>
      </w:r>
      <w:r w:rsidR="00DF510C" w:rsidRPr="007E5846">
        <w:t xml:space="preserve"> dokumentac</w:t>
      </w:r>
      <w:r w:rsidRPr="007E5846">
        <w:t xml:space="preserve">i je řešena ETAPA 2 </w:t>
      </w:r>
      <w:r w:rsidR="000E1C77" w:rsidRPr="007E5846">
        <w:t>rekonstrukc</w:t>
      </w:r>
      <w:r w:rsidRPr="007E5846">
        <w:t>e</w:t>
      </w:r>
      <w:r w:rsidR="006941F1" w:rsidRPr="007E5846">
        <w:t xml:space="preserve"> </w:t>
      </w:r>
      <w:r w:rsidRPr="007E5846">
        <w:t>místní komunikace ul.</w:t>
      </w:r>
      <w:r w:rsidR="00F05D59" w:rsidRPr="007E5846">
        <w:t xml:space="preserve"> Poštovní</w:t>
      </w:r>
      <w:r w:rsidR="0086735F" w:rsidRPr="007E5846">
        <w:t xml:space="preserve"> v</w:t>
      </w:r>
      <w:r w:rsidRPr="007E5846">
        <w:t> </w:t>
      </w:r>
      <w:r w:rsidR="00E43ABA" w:rsidRPr="007E5846">
        <w:t>Mikulově</w:t>
      </w:r>
      <w:r w:rsidRPr="007E5846">
        <w:t xml:space="preserve">, </w:t>
      </w:r>
      <w:r w:rsidR="00850266" w:rsidRPr="007E5846">
        <w:t>při</w:t>
      </w:r>
      <w:r w:rsidRPr="007E5846">
        <w:t xml:space="preserve"> které bude </w:t>
      </w:r>
      <w:r w:rsidR="00850266" w:rsidRPr="007E5846">
        <w:t>realizován</w:t>
      </w:r>
      <w:r w:rsidRPr="007E5846">
        <w:t xml:space="preserve"> </w:t>
      </w:r>
      <w:r w:rsidR="00850266" w:rsidRPr="007E5846">
        <w:t xml:space="preserve">dříve </w:t>
      </w:r>
      <w:r w:rsidRPr="007E5846">
        <w:t xml:space="preserve">vynechaný úsek </w:t>
      </w:r>
      <w:r w:rsidR="00477DC9" w:rsidRPr="007E5846">
        <w:t xml:space="preserve">délky </w:t>
      </w:r>
      <w:r w:rsidR="00850266" w:rsidRPr="007E5846">
        <w:t xml:space="preserve">cca </w:t>
      </w:r>
      <w:proofErr w:type="gramStart"/>
      <w:r w:rsidR="00850266" w:rsidRPr="007E5846">
        <w:t>43m</w:t>
      </w:r>
      <w:proofErr w:type="gramEnd"/>
      <w:r w:rsidR="00850266" w:rsidRPr="007E5846">
        <w:t>, který propojí souběžnou část ul. Poštovní s ul. Mlýnskou. Tento úsek byl z původní dokumentace v</w:t>
      </w:r>
      <w:r w:rsidR="008F35CD" w:rsidRPr="007E5846">
        <w:t xml:space="preserve">yňatý </w:t>
      </w:r>
      <w:r w:rsidR="00850266" w:rsidRPr="007E5846">
        <w:t>z</w:t>
      </w:r>
      <w:r w:rsidR="008F35CD" w:rsidRPr="007E5846">
        <w:t> </w:t>
      </w:r>
      <w:r w:rsidR="00850266" w:rsidRPr="007E5846">
        <w:t>důvodu</w:t>
      </w:r>
      <w:r w:rsidR="008F35CD" w:rsidRPr="007E5846">
        <w:t xml:space="preserve"> nevyřešených majetkoprávních vztahů</w:t>
      </w:r>
      <w:r w:rsidR="007E5846" w:rsidRPr="007E5846">
        <w:t xml:space="preserve"> na pozemku 236/1.</w:t>
      </w:r>
    </w:p>
    <w:p w14:paraId="03845E92" w14:textId="6A412529" w:rsidR="002C5254" w:rsidRPr="007E5846" w:rsidRDefault="00F05D59" w:rsidP="00263D7C">
      <w:pPr>
        <w:pStyle w:val="AqpText"/>
        <w:rPr>
          <w:bCs/>
        </w:rPr>
      </w:pPr>
      <w:r w:rsidRPr="007E5846">
        <w:t>Ulice Poštovní je místní komunikací III. třídy. Navržené řešení respektuje původní dopravní uspořádání</w:t>
      </w:r>
      <w:r w:rsidR="007E5846" w:rsidRPr="007E5846">
        <w:t xml:space="preserve"> </w:t>
      </w:r>
      <w:r w:rsidRPr="007E5846">
        <w:t>jednopruhov</w:t>
      </w:r>
      <w:r w:rsidR="007E5846" w:rsidRPr="007E5846">
        <w:t>é</w:t>
      </w:r>
      <w:r w:rsidRPr="007E5846">
        <w:t xml:space="preserve"> jednosměrn</w:t>
      </w:r>
      <w:r w:rsidR="007E5846" w:rsidRPr="007E5846">
        <w:t>é</w:t>
      </w:r>
      <w:r w:rsidRPr="007E5846">
        <w:t xml:space="preserve"> komunikac</w:t>
      </w:r>
      <w:r w:rsidR="007E5846" w:rsidRPr="007E5846">
        <w:t>e</w:t>
      </w:r>
      <w:r w:rsidRPr="007E5846">
        <w:t>, průjezdn</w:t>
      </w:r>
      <w:r w:rsidR="007E5846" w:rsidRPr="007E5846">
        <w:t>é</w:t>
      </w:r>
      <w:r w:rsidRPr="007E5846">
        <w:t xml:space="preserve"> ve směru od Ulice Česká po ulici Mlýnská. Ve staničení Součástí řešení bude i </w:t>
      </w:r>
      <w:r w:rsidR="007E5846" w:rsidRPr="007E5846">
        <w:t xml:space="preserve">předláždění stávajícího sjezdu na pozemek </w:t>
      </w:r>
      <w:proofErr w:type="spellStart"/>
      <w:r w:rsidR="007E5846" w:rsidRPr="007E5846">
        <w:t>p.č</w:t>
      </w:r>
      <w:proofErr w:type="spellEnd"/>
      <w:r w:rsidR="007E5846" w:rsidRPr="007E5846">
        <w:t xml:space="preserve">. 236/1 a okolní </w:t>
      </w:r>
      <w:r w:rsidR="007E5846">
        <w:t xml:space="preserve">zpevněné </w:t>
      </w:r>
      <w:r w:rsidR="007E5846" w:rsidRPr="007E5846">
        <w:t>plochy v</w:t>
      </w:r>
      <w:r w:rsidR="00AC58DD" w:rsidRPr="007E5846">
        <w:t> nezbytném rozsahu stavby</w:t>
      </w:r>
      <w:r w:rsidRPr="007E5846">
        <w:t>.</w:t>
      </w:r>
    </w:p>
    <w:p w14:paraId="082CB56C" w14:textId="77777777" w:rsidR="008F7307" w:rsidRPr="007E5846" w:rsidRDefault="008F7307" w:rsidP="002347B6">
      <w:pPr>
        <w:pStyle w:val="Nadpis2"/>
      </w:pPr>
      <w:bookmarkStart w:id="23" w:name="_Toc55577419"/>
      <w:r w:rsidRPr="007E5846">
        <w:t>Předpokládaný průběh stavby</w:t>
      </w:r>
      <w:bookmarkEnd w:id="23"/>
    </w:p>
    <w:p w14:paraId="3638B46C" w14:textId="77777777" w:rsidR="002347B6" w:rsidRPr="007E5846" w:rsidRDefault="002347B6" w:rsidP="002347B6">
      <w:pPr>
        <w:pStyle w:val="AqpText"/>
        <w:rPr>
          <w:b/>
        </w:rPr>
      </w:pPr>
      <w:r w:rsidRPr="007E5846">
        <w:rPr>
          <w:b/>
        </w:rPr>
        <w:t>Zahájení</w:t>
      </w:r>
    </w:p>
    <w:p w14:paraId="386E51F3" w14:textId="2E99C311" w:rsidR="008F7307" w:rsidRPr="007E5846" w:rsidRDefault="008F7307" w:rsidP="008F7307">
      <w:pPr>
        <w:pStyle w:val="AqpText"/>
        <w:ind w:left="709"/>
      </w:pPr>
      <w:r w:rsidRPr="007E5846">
        <w:t>Zahájení stavby je naplánováno na 0</w:t>
      </w:r>
      <w:r w:rsidR="007E5846" w:rsidRPr="007E5846">
        <w:t>7</w:t>
      </w:r>
      <w:r w:rsidRPr="007E5846">
        <w:t>/202</w:t>
      </w:r>
      <w:r w:rsidR="007E5846" w:rsidRPr="007E5846">
        <w:t>2</w:t>
      </w:r>
      <w:r w:rsidRPr="007E5846">
        <w:t>.</w:t>
      </w:r>
    </w:p>
    <w:p w14:paraId="7B4AB263" w14:textId="77777777" w:rsidR="002347B6" w:rsidRPr="00F22411" w:rsidRDefault="002347B6" w:rsidP="002347B6">
      <w:pPr>
        <w:pStyle w:val="AqpText"/>
        <w:rPr>
          <w:b/>
        </w:rPr>
      </w:pPr>
      <w:bookmarkStart w:id="24" w:name="_Hlk506984184"/>
      <w:r w:rsidRPr="00F22411">
        <w:rPr>
          <w:b/>
        </w:rPr>
        <w:t>Etapizace a uvádění do provozu</w:t>
      </w:r>
    </w:p>
    <w:p w14:paraId="7BAA7B5E" w14:textId="70E90C18" w:rsidR="008F7307" w:rsidRPr="00F22411" w:rsidRDefault="004405E4" w:rsidP="00F05D59">
      <w:pPr>
        <w:pStyle w:val="AqpText"/>
        <w:ind w:left="709"/>
      </w:pPr>
      <w:r w:rsidRPr="00F22411">
        <w:t xml:space="preserve">Rekonstrukce </w:t>
      </w:r>
      <w:r w:rsidR="007E5846" w:rsidRPr="00F22411">
        <w:t xml:space="preserve">řešeného úseku </w:t>
      </w:r>
      <w:r w:rsidRPr="00F22411">
        <w:t>bude s ohledem na použitou technologii a zajištění výsledné kvality díla prováděna za plné uzavírky</w:t>
      </w:r>
      <w:r w:rsidR="007E5846" w:rsidRPr="00F22411">
        <w:t xml:space="preserve">. Úsek ul. Poštovní opravený v ETAPĚ 1 bude po dobu uzavírky </w:t>
      </w:r>
      <w:r w:rsidR="00F22411" w:rsidRPr="00F22411">
        <w:t xml:space="preserve">ETAPY 2 dočasně </w:t>
      </w:r>
      <w:proofErr w:type="spellStart"/>
      <w:r w:rsidR="00F22411" w:rsidRPr="00F22411">
        <w:t>zobousměrněn</w:t>
      </w:r>
      <w:proofErr w:type="spellEnd"/>
      <w:r w:rsidR="00F22411" w:rsidRPr="00F22411">
        <w:t>.</w:t>
      </w:r>
    </w:p>
    <w:p w14:paraId="564BCBA5" w14:textId="77777777" w:rsidR="002347B6" w:rsidRPr="00F22411" w:rsidRDefault="002347B6" w:rsidP="002347B6">
      <w:pPr>
        <w:pStyle w:val="AqpText"/>
        <w:jc w:val="left"/>
        <w:rPr>
          <w:b/>
        </w:rPr>
      </w:pPr>
      <w:r w:rsidRPr="00F22411">
        <w:rPr>
          <w:b/>
        </w:rPr>
        <w:t>Dokončení stavby</w:t>
      </w:r>
    </w:p>
    <w:p w14:paraId="34D05494" w14:textId="63A6D226" w:rsidR="008D335B" w:rsidRPr="00F22411" w:rsidRDefault="008D335B" w:rsidP="008D335B">
      <w:pPr>
        <w:pStyle w:val="AqpText"/>
        <w:ind w:left="709"/>
      </w:pPr>
      <w:r w:rsidRPr="00F22411">
        <w:t>Dokončení stavby je naplánováno na 0</w:t>
      </w:r>
      <w:r w:rsidR="00240137">
        <w:t>8</w:t>
      </w:r>
      <w:r w:rsidRPr="00F22411">
        <w:t>/2021.</w:t>
      </w:r>
    </w:p>
    <w:p w14:paraId="3749913A" w14:textId="77777777" w:rsidR="008D335B" w:rsidRPr="00F22411" w:rsidRDefault="008D335B" w:rsidP="008D335B">
      <w:pPr>
        <w:pStyle w:val="Nadpis2"/>
        <w:jc w:val="both"/>
      </w:pPr>
      <w:bookmarkStart w:id="25" w:name="_Toc55577420"/>
      <w:r w:rsidRPr="00F22411">
        <w:t>Vazby na regulační plány, územní plán</w:t>
      </w:r>
      <w:bookmarkEnd w:id="25"/>
    </w:p>
    <w:p w14:paraId="1C552149" w14:textId="3781F931" w:rsidR="008D335B" w:rsidRPr="00F22411" w:rsidRDefault="008D335B" w:rsidP="008D335B">
      <w:pPr>
        <w:pStyle w:val="AqpText"/>
      </w:pPr>
      <w:r w:rsidRPr="00F22411">
        <w:t xml:space="preserve">Řešený záměr není v rozporu s platným územním plánem města Mikulov. Stavba výrazně nemění stávající stav. </w:t>
      </w:r>
    </w:p>
    <w:p w14:paraId="08EA9E60" w14:textId="77777777" w:rsidR="003425E3" w:rsidRPr="005B49B4" w:rsidRDefault="003425E3" w:rsidP="003425E3">
      <w:pPr>
        <w:pStyle w:val="Nadpis2"/>
      </w:pPr>
      <w:bookmarkStart w:id="26" w:name="_Toc55577421"/>
      <w:r w:rsidRPr="005B49B4">
        <w:t>Vliv a dopad stavby a jejího provozu na okolí</w:t>
      </w:r>
      <w:bookmarkEnd w:id="26"/>
    </w:p>
    <w:p w14:paraId="2BCA8CD6" w14:textId="185CEBF2" w:rsidR="003425E3" w:rsidRPr="005B49B4" w:rsidRDefault="00AC58DD" w:rsidP="003425E3">
      <w:pPr>
        <w:pStyle w:val="AqpText"/>
      </w:pPr>
      <w:r w:rsidRPr="005B49B4">
        <w:t xml:space="preserve">Jedná se o rekonstrukci, při které </w:t>
      </w:r>
      <w:r w:rsidR="00F22411" w:rsidRPr="005B49B4">
        <w:t>se</w:t>
      </w:r>
      <w:r w:rsidRPr="005B49B4">
        <w:t xml:space="preserve"> </w:t>
      </w:r>
      <w:r w:rsidR="00F22411" w:rsidRPr="005B49B4">
        <w:t>téměř</w:t>
      </w:r>
      <w:r w:rsidRPr="005B49B4">
        <w:t xml:space="preserve"> nemění stávající stav.</w:t>
      </w:r>
      <w:r w:rsidR="00F22411" w:rsidRPr="005B49B4">
        <w:t xml:space="preserve"> Hlavní změna spočívá v </w:t>
      </w:r>
      <w:r w:rsidR="00D710DE" w:rsidRPr="005B49B4">
        <w:t>konstrukčním</w:t>
      </w:r>
      <w:r w:rsidR="00F22411" w:rsidRPr="005B49B4">
        <w:t xml:space="preserve"> sjednocení </w:t>
      </w:r>
      <w:r w:rsidR="00D710DE" w:rsidRPr="005B49B4">
        <w:t>řešeného úseku s širším okolím</w:t>
      </w:r>
      <w:r w:rsidR="00F22411" w:rsidRPr="005B49B4">
        <w:t xml:space="preserve">, kdy bude stávající </w:t>
      </w:r>
      <w:r w:rsidR="00D710DE" w:rsidRPr="005B49B4">
        <w:t xml:space="preserve">silně </w:t>
      </w:r>
      <w:r w:rsidR="00F22411" w:rsidRPr="005B49B4">
        <w:t>poškozen</w:t>
      </w:r>
      <w:r w:rsidR="005B49B4" w:rsidRPr="005B49B4">
        <w:t>á</w:t>
      </w:r>
      <w:r w:rsidR="00F22411" w:rsidRPr="005B49B4">
        <w:t xml:space="preserve"> betonov</w:t>
      </w:r>
      <w:r w:rsidR="00D710DE" w:rsidRPr="005B49B4">
        <w:t>á vozovka nahrazena vozovkou asfaltovou. O</w:t>
      </w:r>
      <w:r w:rsidR="003425E3" w:rsidRPr="005B49B4">
        <w:t xml:space="preserve">dtokové poměry nebudou stavbou změněny, způsob odvodnění komunikace zůstane zachován. Stavba nemá </w:t>
      </w:r>
      <w:r w:rsidRPr="005B49B4">
        <w:t>negativní</w:t>
      </w:r>
      <w:r w:rsidR="003425E3" w:rsidRPr="005B49B4">
        <w:t xml:space="preserve"> vliv na okolní stavby ani pozemky. </w:t>
      </w:r>
    </w:p>
    <w:p w14:paraId="5B36B453" w14:textId="406B46D5" w:rsidR="00753217" w:rsidRPr="00602E4C" w:rsidRDefault="00753217" w:rsidP="00753217">
      <w:pPr>
        <w:pStyle w:val="Nadpis2"/>
      </w:pPr>
      <w:bookmarkStart w:id="27" w:name="_Toc51075054"/>
      <w:bookmarkStart w:id="28" w:name="_Toc55577422"/>
      <w:r w:rsidRPr="00602E4C">
        <w:t>Seznam pozemků podle katastru nemovitostí, na kterých se stavba provádí</w:t>
      </w:r>
      <w:bookmarkEnd w:id="27"/>
      <w:bookmarkEnd w:id="28"/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919"/>
        <w:gridCol w:w="1134"/>
        <w:gridCol w:w="969"/>
        <w:gridCol w:w="3546"/>
        <w:gridCol w:w="2431"/>
      </w:tblGrid>
      <w:tr w:rsidR="00B0413E" w:rsidRPr="00602E4C" w14:paraId="4E89324A" w14:textId="77777777" w:rsidTr="00107300">
        <w:trPr>
          <w:trHeight w:val="684"/>
        </w:trPr>
        <w:tc>
          <w:tcPr>
            <w:tcW w:w="4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888C85A" w14:textId="685DCCC3" w:rsidR="00B0413E" w:rsidRPr="00602E4C" w:rsidRDefault="00B0413E" w:rsidP="00B0413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Pol. č. 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27B1097" w14:textId="21CEE7AC" w:rsidR="00B0413E" w:rsidRPr="00602E4C" w:rsidRDefault="00B0413E" w:rsidP="00B0413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02E4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Parc</w:t>
            </w:r>
            <w:proofErr w:type="spellEnd"/>
            <w:r w:rsidRPr="00602E4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. č.  dle KN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6386047" w14:textId="55BAE509" w:rsidR="00B0413E" w:rsidRPr="00602E4C" w:rsidRDefault="00B0413E" w:rsidP="00B0413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Výměra dle KN (m</w:t>
            </w:r>
            <w:r w:rsidRPr="00602E4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602E4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BD23B17" w14:textId="30FC1373" w:rsidR="00B0413E" w:rsidRPr="00602E4C" w:rsidRDefault="00B0413E" w:rsidP="00B0413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LV</w:t>
            </w:r>
          </w:p>
        </w:tc>
        <w:tc>
          <w:tcPr>
            <w:tcW w:w="3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B31BD25" w14:textId="2550B70B" w:rsidR="00B0413E" w:rsidRPr="00602E4C" w:rsidRDefault="00B0413E" w:rsidP="00B0413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Vlastník (jméno a bydliště)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E31FB7A" w14:textId="7FF715BE" w:rsidR="00B0413E" w:rsidRPr="00602E4C" w:rsidRDefault="00B0413E" w:rsidP="00B0413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Druh pozemku</w:t>
            </w:r>
          </w:p>
        </w:tc>
      </w:tr>
      <w:tr w:rsidR="00B0413E" w:rsidRPr="00602E4C" w14:paraId="2DA9FD58" w14:textId="77777777" w:rsidTr="00107300">
        <w:trPr>
          <w:trHeight w:val="465"/>
        </w:trPr>
        <w:tc>
          <w:tcPr>
            <w:tcW w:w="4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F939" w14:textId="6CCDE61B" w:rsidR="00B0413E" w:rsidRPr="00602E4C" w:rsidRDefault="00107300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D1C2" w14:textId="1B19CD69" w:rsidR="00B0413E" w:rsidRPr="00602E4C" w:rsidRDefault="00B0413E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3283/1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AEFC" w14:textId="74710337" w:rsidR="00B0413E" w:rsidRPr="00602E4C" w:rsidRDefault="00B0413E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B32B" w14:textId="2F14BEBA" w:rsidR="00B0413E" w:rsidRPr="00602E4C" w:rsidRDefault="00B0413E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463F" w14:textId="0A5DB9D1" w:rsidR="00B0413E" w:rsidRPr="00602E4C" w:rsidRDefault="00B0413E" w:rsidP="00B0413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MĚSTO MIKULOV, Náměstí 158/1, 692 01 Mikulov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BF9E" w14:textId="5F3FB05F" w:rsidR="00B0413E" w:rsidRPr="00602E4C" w:rsidRDefault="00B0413E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4D3717" w:rsidRPr="00602E4C" w14:paraId="27B38385" w14:textId="77777777" w:rsidTr="00DB7369">
        <w:trPr>
          <w:trHeight w:val="46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9F71" w14:textId="7BDCFBF8" w:rsidR="004D3717" w:rsidRPr="00602E4C" w:rsidRDefault="00107300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B836" w14:textId="5C546C1F" w:rsidR="004D3717" w:rsidRPr="00602E4C" w:rsidRDefault="004D3717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A80B" w14:textId="2BA0572A" w:rsidR="004D3717" w:rsidRPr="00602E4C" w:rsidRDefault="004D3717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858DA" w14:textId="1336BCC1" w:rsidR="004D3717" w:rsidRPr="00602E4C" w:rsidRDefault="004D3717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4883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9F81" w14:textId="3070085E" w:rsidR="004D3717" w:rsidRPr="00602E4C" w:rsidRDefault="004D3717" w:rsidP="004D371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Brucháčková</w:t>
            </w:r>
            <w:proofErr w:type="spellEnd"/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Závodná Vladimíra Mgr., Husova 334/2, 69201 Mikulov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D886" w14:textId="34D7FD5E" w:rsidR="004D3717" w:rsidRPr="00602E4C" w:rsidRDefault="004D3717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4D3717" w:rsidRPr="00602E4C" w14:paraId="5D1DFB17" w14:textId="77777777" w:rsidTr="00DB7369">
        <w:trPr>
          <w:trHeight w:val="46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8BF1" w14:textId="67BB570C" w:rsidR="004D3717" w:rsidRPr="00602E4C" w:rsidRDefault="00107300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7FC1" w14:textId="333EE2C6" w:rsidR="004D3717" w:rsidRPr="00602E4C" w:rsidRDefault="004D3717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236/1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FBD6" w14:textId="72BA57CA" w:rsidR="004D3717" w:rsidRPr="00602E4C" w:rsidRDefault="004D3717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09CD" w14:textId="5FA02F00" w:rsidR="004D3717" w:rsidRPr="00602E4C" w:rsidRDefault="004D3717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3964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B4C5" w14:textId="4C240916" w:rsidR="004D3717" w:rsidRPr="00602E4C" w:rsidRDefault="004D3717" w:rsidP="00B0413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Garážový park Strašnice a.s., Konojedská 1581/38, Strašnice, 10000 Praha 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C55B" w14:textId="527121DD" w:rsidR="004D3717" w:rsidRPr="00602E4C" w:rsidRDefault="004D3717" w:rsidP="00B0413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602E4C" w:rsidRPr="00602E4C" w14:paraId="618820B0" w14:textId="77777777" w:rsidTr="00DB7369">
        <w:trPr>
          <w:trHeight w:val="46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FF194" w14:textId="19074E3D" w:rsidR="00602E4C" w:rsidRPr="00602E4C" w:rsidRDefault="00107300" w:rsidP="00602E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706A" w14:textId="396EFF80" w:rsidR="00602E4C" w:rsidRPr="00602E4C" w:rsidRDefault="00602E4C" w:rsidP="00602E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231/2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6E72" w14:textId="7EC10387" w:rsidR="00602E4C" w:rsidRPr="00602E4C" w:rsidRDefault="00602E4C" w:rsidP="00602E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E062" w14:textId="4271D37D" w:rsidR="00602E4C" w:rsidRPr="00602E4C" w:rsidRDefault="00602E4C" w:rsidP="00602E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3964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E8B1" w14:textId="4AB88F17" w:rsidR="00602E4C" w:rsidRPr="00602E4C" w:rsidRDefault="00602E4C" w:rsidP="00602E4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Garážový park Strašnice a.s., Konojedská 1581/38, Strašnice, 10000 Praha 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A705" w14:textId="25562F9D" w:rsidR="00602E4C" w:rsidRPr="00602E4C" w:rsidRDefault="00602E4C" w:rsidP="00602E4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2E4C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</w:tbl>
    <w:p w14:paraId="3FA582A1" w14:textId="4B914170" w:rsidR="0013306B" w:rsidRDefault="0013306B">
      <w:pPr>
        <w:rPr>
          <w:b/>
          <w:bCs/>
          <w:highlight w:val="yellow"/>
        </w:rPr>
      </w:pPr>
      <w:bookmarkStart w:id="29" w:name="_Toc51075055"/>
      <w:bookmarkStart w:id="30" w:name="_Toc55577423"/>
    </w:p>
    <w:p w14:paraId="38A0B8A7" w14:textId="29E13470" w:rsidR="0013306B" w:rsidRPr="0013306B" w:rsidRDefault="00753217" w:rsidP="0013306B">
      <w:pPr>
        <w:pStyle w:val="Nadpis2"/>
      </w:pPr>
      <w:r w:rsidRPr="0013306B">
        <w:lastRenderedPageBreak/>
        <w:t>Seznam pozemků sousedících se stavbou podle katastru nemovitostí</w:t>
      </w:r>
      <w:bookmarkEnd w:id="29"/>
      <w:bookmarkEnd w:id="30"/>
    </w:p>
    <w:tbl>
      <w:tblPr>
        <w:tblW w:w="96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200"/>
        <w:gridCol w:w="760"/>
        <w:gridCol w:w="4645"/>
        <w:gridCol w:w="2129"/>
      </w:tblGrid>
      <w:tr w:rsidR="00311FB0" w:rsidRPr="0013306B" w14:paraId="6A91884A" w14:textId="77777777" w:rsidTr="00D46487">
        <w:trPr>
          <w:trHeight w:val="68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367AA89" w14:textId="7DC47F91" w:rsidR="00311FB0" w:rsidRPr="0013306B" w:rsidRDefault="00311FB0" w:rsidP="00311FB0">
            <w:pPr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proofErr w:type="spellStart"/>
            <w:r w:rsidRPr="00133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Parc</w:t>
            </w:r>
            <w:proofErr w:type="spellEnd"/>
            <w:r w:rsidRPr="00133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č.  dle KN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B05F695" w14:textId="2F7E7D8E" w:rsidR="00311FB0" w:rsidRPr="0013306B" w:rsidRDefault="00311FB0" w:rsidP="00311FB0">
            <w:pPr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133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Výměra dle KN (m</w:t>
            </w:r>
            <w:r w:rsidRPr="00133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 w:rsidRPr="00133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D15711" w14:textId="740B6B69" w:rsidR="00311FB0" w:rsidRPr="0013306B" w:rsidRDefault="00311FB0" w:rsidP="00311FB0">
            <w:pPr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133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464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0061612" w14:textId="14A86247" w:rsidR="00311FB0" w:rsidRPr="0013306B" w:rsidRDefault="00311FB0" w:rsidP="00311FB0">
            <w:pPr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133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Vlastník (jméno a bydliště)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48983C9" w14:textId="10557261" w:rsidR="00311FB0" w:rsidRPr="0013306B" w:rsidRDefault="00311FB0" w:rsidP="00311FB0">
            <w:pPr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133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Druh pozemku</w:t>
            </w:r>
          </w:p>
        </w:tc>
      </w:tr>
      <w:tr w:rsidR="00A4098A" w:rsidRPr="0013306B" w14:paraId="033ECB9A" w14:textId="77777777" w:rsidTr="00E40E8A">
        <w:trPr>
          <w:trHeight w:val="465"/>
        </w:trPr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6971E" w14:textId="50E840FE" w:rsidR="00A4098A" w:rsidRPr="0013306B" w:rsidRDefault="00A4098A" w:rsidP="00A4098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sz w:val="16"/>
                <w:szCs w:val="16"/>
              </w:rPr>
              <w:t>3282/1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2F65" w14:textId="79121F65" w:rsidR="00A4098A" w:rsidRPr="0013306B" w:rsidRDefault="00A4098A" w:rsidP="00A4098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6F2D6" w14:textId="474B5EB3" w:rsidR="00A4098A" w:rsidRPr="0013306B" w:rsidRDefault="00A4098A" w:rsidP="00A4098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46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EB79D" w14:textId="317CE05B" w:rsidR="00A4098A" w:rsidRPr="0013306B" w:rsidRDefault="00A4098A" w:rsidP="00A4098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MĚSTO MIKULOV, Náměstí 158/1, 692 01 Mikulov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BA87" w14:textId="1EB7C90B" w:rsidR="00A4098A" w:rsidRPr="0013306B" w:rsidRDefault="00A4098A" w:rsidP="00A4098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A4098A" w:rsidRPr="0013306B" w14:paraId="15A9B61F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0B16" w14:textId="6805F05F" w:rsidR="00A4098A" w:rsidRPr="0013306B" w:rsidRDefault="00A4098A" w:rsidP="00A4098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228/</w:t>
            </w:r>
            <w:r w:rsidR="00F83E23"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2488" w14:textId="2D0BBF8B" w:rsidR="00A4098A" w:rsidRPr="0013306B" w:rsidRDefault="00F83E23" w:rsidP="00A4098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5192" w14:textId="77777777" w:rsidR="00A4098A" w:rsidRPr="0013306B" w:rsidRDefault="00A4098A" w:rsidP="00A4098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118C" w14:textId="77777777" w:rsidR="00A4098A" w:rsidRPr="0013306B" w:rsidRDefault="00A4098A" w:rsidP="00A4098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SJM Černý Martin a Černá Dagmar, Poštovní 14/7, 69201 Mikulov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1AF3" w14:textId="77777777" w:rsidR="00A4098A" w:rsidRPr="0013306B" w:rsidRDefault="00A4098A" w:rsidP="00A4098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F83E23" w:rsidRPr="0013306B" w14:paraId="2A899B21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7F986" w14:textId="4D9252C6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228/2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C5D99" w14:textId="069CD550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FA135" w14:textId="49B00613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33F1" w14:textId="00E5E098" w:rsidR="00F83E23" w:rsidRPr="0013306B" w:rsidRDefault="00F83E23" w:rsidP="00F83E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SJM Černý Martin a Černá Dagmar, Poštovní 14/7, 69201 Mikulov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552E" w14:textId="0DE5EAF5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F83E23" w:rsidRPr="0013306B" w14:paraId="32F4312D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6E92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230/1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B06E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3A2F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0F31" w14:textId="77777777" w:rsidR="00F83E23" w:rsidRPr="0013306B" w:rsidRDefault="00F83E23" w:rsidP="00F83E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Křemečková</w:t>
            </w:r>
            <w:proofErr w:type="spellEnd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Marcela, č. p. 80, 69182 Novosedly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96C6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F83E23" w:rsidRPr="0013306B" w14:paraId="7D959710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5FF1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230/2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7D2A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7B38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5296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C757" w14:textId="77777777" w:rsidR="00F83E23" w:rsidRPr="0013306B" w:rsidRDefault="00F83E23" w:rsidP="00F83E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Moravanský Tomáš, Pavlovská 94/3, 69201 Mikulov 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570E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F83E23" w:rsidRPr="0013306B" w14:paraId="2455C154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3EFD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230/3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6B9D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620B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0B26" w14:textId="77777777" w:rsidR="00F83E23" w:rsidRPr="0013306B" w:rsidRDefault="00F83E23" w:rsidP="00F83E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Špánek Stanislav, Náměstí 27/24, 69201 Mikulov 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91C4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F83E23" w:rsidRPr="0013306B" w14:paraId="35218395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850B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230/4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9C17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CE75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2559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4FDE" w14:textId="77777777" w:rsidR="00F83E23" w:rsidRPr="0013306B" w:rsidRDefault="00F83E23" w:rsidP="00F83E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Štěpánková Ivana, U Celnice 1787/19, 69201 Mikulov 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F11C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F83E23" w:rsidRPr="0013306B" w14:paraId="09CDBD5E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BEBF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230/5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9A7F" w14:textId="4BA327C1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F6AB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D39E" w14:textId="77777777" w:rsidR="00F83E23" w:rsidRPr="0013306B" w:rsidRDefault="00F83E23" w:rsidP="00F83E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Langr Jan, Pavlovská 1583/</w:t>
            </w:r>
            <w:proofErr w:type="gramStart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49a</w:t>
            </w:r>
            <w:proofErr w:type="gramEnd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, 692 01 Mikulov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118B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F83E23" w:rsidRPr="0013306B" w14:paraId="0E652CDE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77A5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230/6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CD23" w14:textId="0FA4FFE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632D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4038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7650" w14:textId="77777777" w:rsidR="00F83E23" w:rsidRPr="0013306B" w:rsidRDefault="00F83E23" w:rsidP="00F83E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Ilgner</w:t>
            </w:r>
            <w:proofErr w:type="spellEnd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Petr, Hraničářů 1352/5, 692 01 Mikulov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A10C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F83E23" w:rsidRPr="0013306B" w14:paraId="3340BC27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FC84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230/7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32D1" w14:textId="1CBC1168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2DC1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16F0" w14:textId="77777777" w:rsidR="00F83E23" w:rsidRPr="0013306B" w:rsidRDefault="00F83E23" w:rsidP="00F83E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Federsel</w:t>
            </w:r>
            <w:proofErr w:type="spellEnd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Jiří, Erbenova 730/19, 692 01 Mikulov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B626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  <w:tr w:rsidR="00F83E23" w:rsidRPr="0013306B" w14:paraId="1A2A87CF" w14:textId="77777777" w:rsidTr="00D46487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F0AB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230/8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BB6C" w14:textId="2659C4D2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D5E9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FD8C" w14:textId="77777777" w:rsidR="00F83E23" w:rsidRPr="0013306B" w:rsidRDefault="00F83E23" w:rsidP="00F83E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SJM </w:t>
            </w:r>
            <w:proofErr w:type="spellStart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Federsel</w:t>
            </w:r>
            <w:proofErr w:type="spellEnd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Jiří a </w:t>
            </w:r>
            <w:proofErr w:type="spellStart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Federselová</w:t>
            </w:r>
            <w:proofErr w:type="spellEnd"/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Zdeňka, Kamenný řádek 749/11, 692 01 Mikulov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D3A7" w14:textId="77777777" w:rsidR="00F83E23" w:rsidRPr="0013306B" w:rsidRDefault="00F83E23" w:rsidP="00F83E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3306B">
              <w:rPr>
                <w:rFonts w:ascii="Calibri" w:hAnsi="Calibri" w:cs="Calibri"/>
                <w:color w:val="000000"/>
                <w:sz w:val="16"/>
                <w:szCs w:val="16"/>
              </w:rPr>
              <w:t>Zastavěná plocha a nádvoří</w:t>
            </w:r>
          </w:p>
        </w:tc>
      </w:tr>
    </w:tbl>
    <w:p w14:paraId="1489BDEB" w14:textId="7193E537" w:rsidR="003425E3" w:rsidRPr="0013306B" w:rsidRDefault="003425E3" w:rsidP="003425E3">
      <w:pPr>
        <w:pStyle w:val="Nadpis1"/>
      </w:pPr>
      <w:bookmarkStart w:id="31" w:name="_Toc55577424"/>
      <w:r w:rsidRPr="0013306B">
        <w:t>PŘEHLED VÝCHOZÍCH PODKLADŮ A PRŮZKUMŮ</w:t>
      </w:r>
      <w:bookmarkEnd w:id="31"/>
    </w:p>
    <w:p w14:paraId="6E0AE5F7" w14:textId="77777777" w:rsidR="00596134" w:rsidRPr="0013306B" w:rsidRDefault="00596134" w:rsidP="00596134">
      <w:pPr>
        <w:pStyle w:val="AqpText"/>
        <w:numPr>
          <w:ilvl w:val="0"/>
          <w:numId w:val="20"/>
        </w:numPr>
        <w:ind w:left="1276" w:hanging="567"/>
      </w:pPr>
      <w:r w:rsidRPr="0013306B">
        <w:t>mapové podklady</w:t>
      </w:r>
    </w:p>
    <w:p w14:paraId="33251F5B" w14:textId="77777777" w:rsidR="00596134" w:rsidRPr="0013306B" w:rsidRDefault="00596134" w:rsidP="00596134">
      <w:pPr>
        <w:pStyle w:val="AqpText"/>
        <w:numPr>
          <w:ilvl w:val="0"/>
          <w:numId w:val="20"/>
        </w:numPr>
        <w:ind w:left="1276" w:hanging="567"/>
      </w:pPr>
      <w:r w:rsidRPr="0013306B">
        <w:t>geodetické zaměření, katastrální mapa</w:t>
      </w:r>
    </w:p>
    <w:p w14:paraId="3230C2BF" w14:textId="77777777" w:rsidR="00596134" w:rsidRPr="0013306B" w:rsidRDefault="00596134" w:rsidP="00596134">
      <w:pPr>
        <w:pStyle w:val="AqpText"/>
        <w:numPr>
          <w:ilvl w:val="0"/>
          <w:numId w:val="20"/>
        </w:numPr>
        <w:ind w:left="1276" w:hanging="567"/>
      </w:pPr>
      <w:r w:rsidRPr="0013306B">
        <w:t>podklady o průběhu inženýrských sítí</w:t>
      </w:r>
    </w:p>
    <w:p w14:paraId="13ABE751" w14:textId="77777777" w:rsidR="00596134" w:rsidRPr="0013306B" w:rsidRDefault="00596134" w:rsidP="00596134">
      <w:pPr>
        <w:pStyle w:val="AqpText"/>
        <w:numPr>
          <w:ilvl w:val="0"/>
          <w:numId w:val="20"/>
        </w:numPr>
        <w:ind w:left="1276" w:hanging="567"/>
      </w:pPr>
      <w:r w:rsidRPr="0013306B">
        <w:t>místní šetření provedené projektantem</w:t>
      </w:r>
    </w:p>
    <w:p w14:paraId="44D5BE4E" w14:textId="5A610CEC" w:rsidR="008D335B" w:rsidRPr="0013306B" w:rsidRDefault="00596134" w:rsidP="004E002F">
      <w:pPr>
        <w:pStyle w:val="AqpText"/>
        <w:numPr>
          <w:ilvl w:val="0"/>
          <w:numId w:val="20"/>
        </w:numPr>
        <w:ind w:left="1276" w:hanging="567"/>
      </w:pPr>
      <w:r w:rsidRPr="0013306B">
        <w:t>výsledky a závěry výrobních výborů a jednání se zástupci investora</w:t>
      </w:r>
    </w:p>
    <w:p w14:paraId="5839B344" w14:textId="4D7A06D2" w:rsidR="0013306B" w:rsidRPr="0013306B" w:rsidRDefault="0013306B" w:rsidP="004E002F">
      <w:pPr>
        <w:pStyle w:val="AqpText"/>
        <w:numPr>
          <w:ilvl w:val="0"/>
          <w:numId w:val="20"/>
        </w:numPr>
        <w:ind w:left="1276" w:hanging="567"/>
      </w:pPr>
      <w:r w:rsidRPr="0013306B">
        <w:t xml:space="preserve">PD „Mikulov, ul. Mlýnská a Poštovní – oprava komunikace“ (ETAPA 1) </w:t>
      </w:r>
    </w:p>
    <w:p w14:paraId="56F292CC" w14:textId="77777777" w:rsidR="00596134" w:rsidRPr="00240137" w:rsidRDefault="005A3176" w:rsidP="00596134">
      <w:pPr>
        <w:pStyle w:val="Nadpis1"/>
      </w:pPr>
      <w:bookmarkStart w:id="32" w:name="_Toc55577425"/>
      <w:bookmarkEnd w:id="24"/>
      <w:r w:rsidRPr="00240137">
        <w:t>ČLENĚNÍ STAVBY</w:t>
      </w:r>
      <w:bookmarkEnd w:id="32"/>
    </w:p>
    <w:p w14:paraId="32F67B7F" w14:textId="77777777" w:rsidR="005A3176" w:rsidRPr="00240137" w:rsidRDefault="005A3176" w:rsidP="005A3176">
      <w:pPr>
        <w:pStyle w:val="AqpText"/>
        <w:spacing w:before="240"/>
      </w:pPr>
      <w:r w:rsidRPr="00240137">
        <w:t>Objektová skladba stavby</w:t>
      </w:r>
      <w:r w:rsidRPr="00240137">
        <w:rPr>
          <w:rStyle w:val="AqpTextChar2"/>
          <w:sz w:val="20"/>
          <w:szCs w:val="20"/>
        </w:rPr>
        <w:t xml:space="preserve"> je následující</w:t>
      </w:r>
      <w:r w:rsidRPr="00240137">
        <w:t>:</w:t>
      </w:r>
    </w:p>
    <w:p w14:paraId="34EC7361" w14:textId="48737413" w:rsidR="00F05D59" w:rsidRPr="00240137" w:rsidRDefault="005A3176" w:rsidP="005A3176">
      <w:pPr>
        <w:pStyle w:val="AqpText"/>
        <w:rPr>
          <w:bCs/>
        </w:rPr>
      </w:pPr>
      <w:r w:rsidRPr="00240137">
        <w:rPr>
          <w:bCs/>
        </w:rPr>
        <w:t>SO 101</w:t>
      </w:r>
      <w:r w:rsidRPr="00240137">
        <w:rPr>
          <w:bCs/>
        </w:rPr>
        <w:tab/>
      </w:r>
      <w:r w:rsidRPr="00240137">
        <w:rPr>
          <w:bCs/>
        </w:rPr>
        <w:tab/>
        <w:t xml:space="preserve">Oprava </w:t>
      </w:r>
      <w:r w:rsidR="00314B51">
        <w:rPr>
          <w:bCs/>
        </w:rPr>
        <w:t xml:space="preserve">pozemní </w:t>
      </w:r>
      <w:r w:rsidRPr="00240137">
        <w:rPr>
          <w:bCs/>
        </w:rPr>
        <w:t>komunikace</w:t>
      </w:r>
      <w:r w:rsidR="00F05D59" w:rsidRPr="00240137">
        <w:rPr>
          <w:bCs/>
        </w:rPr>
        <w:t xml:space="preserve"> – </w:t>
      </w:r>
      <w:r w:rsidR="00240137" w:rsidRPr="00240137">
        <w:rPr>
          <w:bCs/>
        </w:rPr>
        <w:t>ul.</w:t>
      </w:r>
      <w:r w:rsidR="00F05D59" w:rsidRPr="00240137">
        <w:rPr>
          <w:bCs/>
        </w:rPr>
        <w:t xml:space="preserve"> Mlýnská</w:t>
      </w:r>
    </w:p>
    <w:p w14:paraId="6E132B93" w14:textId="162897EF" w:rsidR="00F05D59" w:rsidRDefault="00F05D59" w:rsidP="005A3176">
      <w:pPr>
        <w:pStyle w:val="AqpText"/>
        <w:rPr>
          <w:bCs/>
        </w:rPr>
      </w:pPr>
      <w:r w:rsidRPr="00240137">
        <w:rPr>
          <w:bCs/>
        </w:rPr>
        <w:t xml:space="preserve">SO 102 </w:t>
      </w:r>
      <w:r w:rsidRPr="00240137">
        <w:rPr>
          <w:bCs/>
        </w:rPr>
        <w:tab/>
        <w:t xml:space="preserve">Oprava </w:t>
      </w:r>
      <w:r w:rsidR="00314B51">
        <w:rPr>
          <w:bCs/>
        </w:rPr>
        <w:t xml:space="preserve">pozemní </w:t>
      </w:r>
      <w:r w:rsidRPr="00240137">
        <w:rPr>
          <w:bCs/>
        </w:rPr>
        <w:t xml:space="preserve">komunikace – </w:t>
      </w:r>
      <w:r w:rsidR="00240137" w:rsidRPr="00240137">
        <w:rPr>
          <w:bCs/>
        </w:rPr>
        <w:t>ul.</w:t>
      </w:r>
      <w:r w:rsidRPr="00240137">
        <w:rPr>
          <w:bCs/>
        </w:rPr>
        <w:t xml:space="preserve"> Poštovní</w:t>
      </w:r>
    </w:p>
    <w:p w14:paraId="75465021" w14:textId="2E5968BE" w:rsidR="0013306B" w:rsidRPr="00240137" w:rsidRDefault="0013306B" w:rsidP="005A3176">
      <w:pPr>
        <w:pStyle w:val="AqpText"/>
        <w:rPr>
          <w:b/>
        </w:rPr>
      </w:pPr>
      <w:r w:rsidRPr="00240137">
        <w:rPr>
          <w:b/>
        </w:rPr>
        <w:t xml:space="preserve">SO 102.1 </w:t>
      </w:r>
      <w:r w:rsidRPr="00240137">
        <w:rPr>
          <w:b/>
        </w:rPr>
        <w:tab/>
        <w:t>Oprava</w:t>
      </w:r>
      <w:r w:rsidRPr="00314B51">
        <w:rPr>
          <w:b/>
        </w:rPr>
        <w:t xml:space="preserve"> </w:t>
      </w:r>
      <w:r w:rsidR="00314B51" w:rsidRPr="00314B51">
        <w:rPr>
          <w:b/>
        </w:rPr>
        <w:t xml:space="preserve">pozemní </w:t>
      </w:r>
      <w:r w:rsidRPr="00240137">
        <w:rPr>
          <w:b/>
        </w:rPr>
        <w:t xml:space="preserve">komunikace – </w:t>
      </w:r>
      <w:r w:rsidR="00240137" w:rsidRPr="00240137">
        <w:rPr>
          <w:b/>
        </w:rPr>
        <w:t>ul.</w:t>
      </w:r>
      <w:r w:rsidRPr="00240137">
        <w:rPr>
          <w:b/>
        </w:rPr>
        <w:t xml:space="preserve"> Poštovní</w:t>
      </w:r>
      <w:r w:rsidR="00240137" w:rsidRPr="00240137">
        <w:rPr>
          <w:b/>
        </w:rPr>
        <w:t>, ETAPA 2</w:t>
      </w:r>
    </w:p>
    <w:p w14:paraId="2F11AE58" w14:textId="117B3BA5" w:rsidR="00B86860" w:rsidRPr="0013306B" w:rsidRDefault="00B86860" w:rsidP="005A3176">
      <w:pPr>
        <w:pStyle w:val="AqpText"/>
        <w:rPr>
          <w:bCs/>
        </w:rPr>
      </w:pPr>
      <w:r w:rsidRPr="0013306B">
        <w:rPr>
          <w:bCs/>
        </w:rPr>
        <w:t>SO 431</w:t>
      </w:r>
      <w:r w:rsidRPr="0013306B">
        <w:rPr>
          <w:bCs/>
        </w:rPr>
        <w:tab/>
      </w:r>
      <w:r w:rsidRPr="0013306B">
        <w:rPr>
          <w:bCs/>
        </w:rPr>
        <w:tab/>
        <w:t>Osvětlení pozemní komunikace</w:t>
      </w:r>
    </w:p>
    <w:p w14:paraId="707B9059" w14:textId="28E4DE09" w:rsidR="005A3176" w:rsidRDefault="005A3176" w:rsidP="005A3176">
      <w:pPr>
        <w:pStyle w:val="AqpText"/>
      </w:pPr>
      <w:r w:rsidRPr="00240137">
        <w:t>Rekonstrukce stávají</w:t>
      </w:r>
      <w:r w:rsidR="00F05D59" w:rsidRPr="00240137">
        <w:t>cí komunikace navazuje na stavb</w:t>
      </w:r>
      <w:r w:rsidR="00240137" w:rsidRPr="00240137">
        <w:t>u</w:t>
      </w:r>
      <w:r w:rsidRPr="00240137">
        <w:t xml:space="preserve"> </w:t>
      </w:r>
      <w:r w:rsidR="00F05D59" w:rsidRPr="00240137">
        <w:t>„Mikulov – ul. Poštovní oprava kanalizace a vodovodu“ v rámci kter</w:t>
      </w:r>
      <w:r w:rsidR="00240137" w:rsidRPr="00240137">
        <w:t>é</w:t>
      </w:r>
      <w:r w:rsidRPr="00240137">
        <w:t xml:space="preserve"> </w:t>
      </w:r>
      <w:r w:rsidR="00240137" w:rsidRPr="00240137">
        <w:t>byla</w:t>
      </w:r>
      <w:r w:rsidRPr="00240137">
        <w:t xml:space="preserve"> </w:t>
      </w:r>
      <w:r w:rsidR="00240137" w:rsidRPr="00240137">
        <w:t xml:space="preserve">v ulici </w:t>
      </w:r>
      <w:r w:rsidRPr="00240137">
        <w:t>provedena oprava vodovodního potrubí a kanalizační stoky</w:t>
      </w:r>
      <w:r w:rsidR="00240137" w:rsidRPr="00240137">
        <w:t>.</w:t>
      </w:r>
    </w:p>
    <w:p w14:paraId="6F26C660" w14:textId="6D6AC0D0" w:rsidR="00BF4332" w:rsidRPr="00240137" w:rsidRDefault="00BF4332" w:rsidP="005A3176">
      <w:pPr>
        <w:pStyle w:val="AqpText"/>
      </w:pPr>
      <w:r>
        <w:t xml:space="preserve">SO 101, SO 102 a SO 431 byly realizovány v roce 2021 v rámci tzv. ETAPY 1 této stavby. </w:t>
      </w:r>
      <w:proofErr w:type="gramStart"/>
      <w:r>
        <w:t>Ú</w:t>
      </w:r>
      <w:r w:rsidRPr="007E5846">
        <w:t>sek</w:t>
      </w:r>
      <w:proofErr w:type="gramEnd"/>
      <w:r>
        <w:t xml:space="preserve"> který řeší nynější SO 102.1</w:t>
      </w:r>
      <w:r w:rsidRPr="007E5846">
        <w:t xml:space="preserve"> byl z původní dokumentace vyňatý z důvodu nevyřešených majetkoprávních vztahů </w:t>
      </w:r>
      <w:r>
        <w:t>vůči</w:t>
      </w:r>
      <w:r w:rsidRPr="007E5846">
        <w:t xml:space="preserve"> pozemku 236/1.</w:t>
      </w:r>
    </w:p>
    <w:p w14:paraId="4F5DA08A" w14:textId="77777777" w:rsidR="005A3176" w:rsidRPr="00240137" w:rsidRDefault="005A3176" w:rsidP="00642961">
      <w:pPr>
        <w:pStyle w:val="Nadpis1"/>
      </w:pPr>
      <w:bookmarkStart w:id="33" w:name="_Toc55577426"/>
      <w:r w:rsidRPr="00240137">
        <w:lastRenderedPageBreak/>
        <w:t>PODMÍNKY REALIZACE STAVBY</w:t>
      </w:r>
      <w:bookmarkEnd w:id="33"/>
    </w:p>
    <w:p w14:paraId="55E4B1DD" w14:textId="77777777" w:rsidR="00642961" w:rsidRPr="00240137" w:rsidRDefault="00642961" w:rsidP="00094D03">
      <w:pPr>
        <w:pStyle w:val="Nadpis2"/>
        <w:numPr>
          <w:ilvl w:val="0"/>
          <w:numId w:val="43"/>
        </w:numPr>
      </w:pPr>
      <w:bookmarkStart w:id="34" w:name="_Toc47097103"/>
      <w:bookmarkStart w:id="35" w:name="_Toc55577427"/>
      <w:r w:rsidRPr="00240137">
        <w:t>Věcné a časové vazby souvisejících staveb jiných stavebníků</w:t>
      </w:r>
      <w:bookmarkEnd w:id="34"/>
      <w:bookmarkEnd w:id="35"/>
    </w:p>
    <w:p w14:paraId="41883C0F" w14:textId="4A6E16CA" w:rsidR="00094D03" w:rsidRDefault="00240137" w:rsidP="00094D03">
      <w:pPr>
        <w:pStyle w:val="AqpText"/>
      </w:pPr>
      <w:r w:rsidRPr="00240137">
        <w:t>Rekonstrukce stávající komunikace navazuje na stavbu „Mikulov – ul. Poštovní oprava kanalizace a vodovodu“ v rámci které byla v ulici provedena oprava vodovodního potrubí a kanalizační stoky.</w:t>
      </w:r>
    </w:p>
    <w:p w14:paraId="7F045C86" w14:textId="788EB3B9" w:rsidR="00240137" w:rsidRPr="007E5846" w:rsidRDefault="00240137" w:rsidP="00240137">
      <w:pPr>
        <w:pStyle w:val="AqpText"/>
      </w:pPr>
      <w:r w:rsidRPr="007E5846">
        <w:t xml:space="preserve">V rámci tohoto dodatku k projektové dokumentaci je řešena ETAPA 2 rekonstrukce místní komunikace ul. Poštovní v Mikulově, při které bude realizován dříve vynechaný úsek délky cca </w:t>
      </w:r>
      <w:proofErr w:type="gramStart"/>
      <w:r w:rsidRPr="007E5846">
        <w:t>43m</w:t>
      </w:r>
      <w:proofErr w:type="gramEnd"/>
      <w:r w:rsidRPr="007E5846">
        <w:t xml:space="preserve">, který propojí souběžnou část ul. Poštovní s ul. Mlýnskou. Tento úsek byl z původní dokumentace vyňatý z důvodu nevyřešených majetkoprávních vztahů </w:t>
      </w:r>
      <w:r w:rsidR="00BF4332">
        <w:t>vůči</w:t>
      </w:r>
      <w:r w:rsidRPr="007E5846">
        <w:t xml:space="preserve"> pozemku 236/1.</w:t>
      </w:r>
    </w:p>
    <w:p w14:paraId="7C6D0FCE" w14:textId="655E8946" w:rsidR="00240137" w:rsidRPr="00854761" w:rsidRDefault="00240137" w:rsidP="00240137">
      <w:pPr>
        <w:pStyle w:val="AqpText"/>
        <w:rPr>
          <w:highlight w:val="yellow"/>
        </w:rPr>
      </w:pPr>
      <w:r w:rsidRPr="007E5846">
        <w:t xml:space="preserve">Ulice Poštovní je místní komunikací III. třídy. Navržené řešení respektuje původní dopravní uspořádání jednopruhové jednosměrné komunikace, průjezdné ve směru od Ulice Česká po ulici Mlýnská. Ve staničení Součástí řešení bude i předláždění stávajícího sjezdu na pozemek </w:t>
      </w:r>
      <w:proofErr w:type="spellStart"/>
      <w:r w:rsidRPr="007E5846">
        <w:t>p.č</w:t>
      </w:r>
      <w:proofErr w:type="spellEnd"/>
      <w:r w:rsidRPr="007E5846">
        <w:t xml:space="preserve">. 236/1 a okolní </w:t>
      </w:r>
      <w:r>
        <w:t xml:space="preserve">zpevněné </w:t>
      </w:r>
      <w:r w:rsidRPr="007E5846">
        <w:t>plochy v nezbytném rozsahu stavby.</w:t>
      </w:r>
    </w:p>
    <w:p w14:paraId="7873663A" w14:textId="77777777" w:rsidR="00642961" w:rsidRPr="00314B51" w:rsidRDefault="00642961" w:rsidP="00094D03">
      <w:pPr>
        <w:pStyle w:val="Nadpis2"/>
        <w:numPr>
          <w:ilvl w:val="0"/>
          <w:numId w:val="42"/>
        </w:numPr>
      </w:pPr>
      <w:bookmarkStart w:id="36" w:name="_Toc47097104"/>
      <w:bookmarkStart w:id="37" w:name="_Toc55577428"/>
      <w:r w:rsidRPr="00314B51">
        <w:t>Uvažovaný průběh výstavby a zajištění její plynulosti a koordinovanosti</w:t>
      </w:r>
      <w:bookmarkEnd w:id="36"/>
      <w:bookmarkEnd w:id="37"/>
    </w:p>
    <w:p w14:paraId="7E25ACB0" w14:textId="4433C127" w:rsidR="00066AEC" w:rsidRPr="00314B51" w:rsidRDefault="00642961" w:rsidP="00066AEC">
      <w:pPr>
        <w:pStyle w:val="AqpText"/>
      </w:pPr>
      <w:r w:rsidRPr="00314B51">
        <w:t>Návrh předpokládá zahájení prací v termínu 0</w:t>
      </w:r>
      <w:r w:rsidR="00240137" w:rsidRPr="00314B51">
        <w:t>8</w:t>
      </w:r>
      <w:r w:rsidRPr="00314B51">
        <w:t xml:space="preserve">/2021, dokončení v termínu r. </w:t>
      </w:r>
      <w:r w:rsidR="00240137" w:rsidRPr="00314B51">
        <w:t>10</w:t>
      </w:r>
      <w:r w:rsidRPr="00314B51">
        <w:t xml:space="preserve">/2021. Vybraný dodavatel doloží graf postupu přípravy stavby s uvedením konkrétních termínů. </w:t>
      </w:r>
      <w:r w:rsidR="00066AEC" w:rsidRPr="00314B51">
        <w:t>Rekonstrukce komunikace bude s ohledem na použitou technologii a zajištění výsledné kvality díla prováděna za úplné uzavírky. Po celou dobu stavby zajistí zhotovitel stavby organizací stavebních prací vjezd a výjezd vozidlům IZS. Zhotovitel stavby zajistí v prostoru stavby bezpečný koridor pro pohyb pěších, neboť rekonstruovaná silnice slouží k přístupu do přilehlých nemovitostí, jejichž obslužnost musí být během stavby zachována.</w:t>
      </w:r>
    </w:p>
    <w:p w14:paraId="065ED241" w14:textId="77777777" w:rsidR="00642961" w:rsidRPr="00314B51" w:rsidRDefault="00642961" w:rsidP="00642961">
      <w:pPr>
        <w:pStyle w:val="AqpText"/>
      </w:pPr>
      <w:r w:rsidRPr="00314B51">
        <w:t xml:space="preserve">Vzhledem k nedostatku prostoru na stávajícím tělese </w:t>
      </w:r>
      <w:r w:rsidR="004E002F" w:rsidRPr="00314B51">
        <w:t>ulic Mlýnská a Poštovní</w:t>
      </w:r>
      <w:r w:rsidRPr="00314B51">
        <w:t xml:space="preserve">, si musí možnosti umístění objektů zařízení staveniště (mobilní buňky, sociální zařízení), odstavení mechanizace a uložení kusového stavebního materiálu zajistit zhotovitel stavby. </w:t>
      </w:r>
    </w:p>
    <w:p w14:paraId="7EB4B3E4" w14:textId="77777777" w:rsidR="00642961" w:rsidRPr="00314B51" w:rsidRDefault="00642961" w:rsidP="00642961">
      <w:pPr>
        <w:pStyle w:val="AqpText"/>
      </w:pPr>
      <w:r w:rsidRPr="00314B51">
        <w:t>Během stavby budou provedeny zejména následující práce:</w:t>
      </w:r>
    </w:p>
    <w:p w14:paraId="75663F71" w14:textId="77777777" w:rsidR="00642961" w:rsidRPr="00314B51" w:rsidRDefault="00642961" w:rsidP="00642961">
      <w:pPr>
        <w:pStyle w:val="Aqpodrka1"/>
        <w:tabs>
          <w:tab w:val="clear" w:pos="2223"/>
        </w:tabs>
      </w:pPr>
      <w:r w:rsidRPr="00314B51">
        <w:t>zřízení dopravního značení pro provádění</w:t>
      </w:r>
    </w:p>
    <w:p w14:paraId="6E9CB793" w14:textId="77777777" w:rsidR="00642961" w:rsidRPr="00314B51" w:rsidRDefault="00642961" w:rsidP="00642961">
      <w:pPr>
        <w:pStyle w:val="Aqpodrka1"/>
        <w:tabs>
          <w:tab w:val="clear" w:pos="2223"/>
        </w:tabs>
      </w:pPr>
      <w:r w:rsidRPr="00314B51">
        <w:t>zřízení zařízení staveniště</w:t>
      </w:r>
    </w:p>
    <w:p w14:paraId="0D3B8767" w14:textId="77777777" w:rsidR="00642961" w:rsidRPr="00314B51" w:rsidRDefault="00642961" w:rsidP="00642961">
      <w:pPr>
        <w:pStyle w:val="Aqpodrka1"/>
        <w:tabs>
          <w:tab w:val="clear" w:pos="2223"/>
        </w:tabs>
      </w:pPr>
      <w:r w:rsidRPr="00314B51">
        <w:t>vytyčení veškerých inženýrských sítí, dohoda se správci o případných úpravách, ověření polohy kopanými sondami</w:t>
      </w:r>
    </w:p>
    <w:p w14:paraId="3FC63DC7" w14:textId="77777777" w:rsidR="00642961" w:rsidRPr="00314B51" w:rsidRDefault="00642961" w:rsidP="00642961">
      <w:pPr>
        <w:pStyle w:val="Aqpodrka1"/>
        <w:tabs>
          <w:tab w:val="clear" w:pos="2223"/>
        </w:tabs>
      </w:pPr>
      <w:r w:rsidRPr="00314B51">
        <w:t>vytyčení obvodu staveniště a vlastní stavby</w:t>
      </w:r>
    </w:p>
    <w:p w14:paraId="333CE073" w14:textId="77777777" w:rsidR="00642961" w:rsidRPr="00314B51" w:rsidRDefault="00642961" w:rsidP="00642961">
      <w:pPr>
        <w:pStyle w:val="Aqpodrka1"/>
        <w:tabs>
          <w:tab w:val="clear" w:pos="2223"/>
        </w:tabs>
      </w:pPr>
      <w:r w:rsidRPr="00314B51">
        <w:t>provedení vlastní rekonstrukce vozovky</w:t>
      </w:r>
    </w:p>
    <w:p w14:paraId="417B577F" w14:textId="77777777" w:rsidR="00642961" w:rsidRPr="00314B51" w:rsidRDefault="00642961" w:rsidP="00642961">
      <w:pPr>
        <w:pStyle w:val="Aqpodrka1"/>
        <w:tabs>
          <w:tab w:val="clear" w:pos="2223"/>
        </w:tabs>
      </w:pPr>
      <w:r w:rsidRPr="00314B51">
        <w:t>odstranění zařízení staveniště</w:t>
      </w:r>
    </w:p>
    <w:p w14:paraId="33D8740F" w14:textId="77777777" w:rsidR="00642961" w:rsidRPr="00314B51" w:rsidRDefault="00642961" w:rsidP="00642961">
      <w:pPr>
        <w:pStyle w:val="Aqpodrka1"/>
        <w:tabs>
          <w:tab w:val="clear" w:pos="2223"/>
        </w:tabs>
      </w:pPr>
      <w:r w:rsidRPr="00314B51">
        <w:t>odstranění dopravního značení pro provádění</w:t>
      </w:r>
    </w:p>
    <w:p w14:paraId="11E943E3" w14:textId="77777777" w:rsidR="00642961" w:rsidRPr="00314B51" w:rsidRDefault="00642961" w:rsidP="00642961">
      <w:pPr>
        <w:pStyle w:val="Aqpodrka1"/>
        <w:tabs>
          <w:tab w:val="clear" w:pos="2223"/>
        </w:tabs>
      </w:pPr>
      <w:r w:rsidRPr="00314B51">
        <w:t>úklid a předání stavby</w:t>
      </w:r>
    </w:p>
    <w:p w14:paraId="2C9FB45B" w14:textId="77777777" w:rsidR="00642961" w:rsidRPr="00314B51" w:rsidRDefault="00642961" w:rsidP="00637C67">
      <w:pPr>
        <w:pStyle w:val="Nadpis2"/>
      </w:pPr>
      <w:bookmarkStart w:id="38" w:name="_Toc47097105"/>
      <w:bookmarkStart w:id="39" w:name="_Toc55577429"/>
      <w:r w:rsidRPr="00314B51">
        <w:t>Zajištění přístupu na stavbu</w:t>
      </w:r>
      <w:bookmarkEnd w:id="38"/>
      <w:bookmarkEnd w:id="39"/>
    </w:p>
    <w:p w14:paraId="05D6CFE5" w14:textId="4F76CF9A" w:rsidR="00642961" w:rsidRPr="00314B51" w:rsidRDefault="00642961" w:rsidP="00642961">
      <w:pPr>
        <w:pStyle w:val="AqpText"/>
      </w:pPr>
      <w:r w:rsidRPr="00314B51">
        <w:t xml:space="preserve">Přístup na staveniště je možný z obou konců stavby, po ulici </w:t>
      </w:r>
      <w:r w:rsidR="004E002F" w:rsidRPr="00314B51">
        <w:t>Česká</w:t>
      </w:r>
      <w:r w:rsidR="00314B51" w:rsidRPr="00314B51">
        <w:t>, Poštovní</w:t>
      </w:r>
      <w:r w:rsidRPr="00314B51">
        <w:t xml:space="preserve"> a po ulici </w:t>
      </w:r>
      <w:r w:rsidR="00314B51" w:rsidRPr="00314B51">
        <w:t>Mlýnská</w:t>
      </w:r>
      <w:r w:rsidRPr="00314B51">
        <w:t>. Parkování si zajistí zhotovitel stavby v prostoru staveniště.</w:t>
      </w:r>
    </w:p>
    <w:p w14:paraId="1CF22696" w14:textId="77777777" w:rsidR="00642961" w:rsidRPr="00314B51" w:rsidRDefault="00642961" w:rsidP="00637C67">
      <w:pPr>
        <w:pStyle w:val="Nadpis2"/>
      </w:pPr>
      <w:bookmarkStart w:id="40" w:name="_Toc47097106"/>
      <w:bookmarkStart w:id="41" w:name="_Toc55577430"/>
      <w:r w:rsidRPr="00314B51">
        <w:t>Dopravní omezení, objížďky a výluky dopravy</w:t>
      </w:r>
      <w:bookmarkEnd w:id="40"/>
      <w:bookmarkEnd w:id="41"/>
    </w:p>
    <w:p w14:paraId="329DEF1E" w14:textId="77777777" w:rsidR="00314B51" w:rsidRPr="00314B51" w:rsidRDefault="00314B51" w:rsidP="00314B51">
      <w:pPr>
        <w:pStyle w:val="AqpText"/>
      </w:pPr>
      <w:r w:rsidRPr="00314B51">
        <w:t>Rekonstrukce stávající komunikace navazuje na stavbu „Mikulov – ul. Poštovní oprava kanalizace a vodovodu“ v rámci které byla v ulici provedena oprava vodovodního potrubí a kanalizační stoky.</w:t>
      </w:r>
    </w:p>
    <w:p w14:paraId="47FE80E1" w14:textId="10A6CF51" w:rsidR="00314B51" w:rsidRPr="00314B51" w:rsidRDefault="00314B51" w:rsidP="00314B51">
      <w:pPr>
        <w:pStyle w:val="AqpText"/>
      </w:pPr>
      <w:r w:rsidRPr="00314B51">
        <w:t xml:space="preserve">V rámci tohoto dodatku k projektové dokumentaci je řešena ETAPA 2 rekonstrukce místní komunikace ul. Poštovní v Mikulově, při které bude realizován dříve vynechaný úsek délky cca </w:t>
      </w:r>
      <w:proofErr w:type="gramStart"/>
      <w:r w:rsidRPr="00314B51">
        <w:t>43m</w:t>
      </w:r>
      <w:proofErr w:type="gramEnd"/>
      <w:r w:rsidRPr="00314B51">
        <w:t xml:space="preserve">, který propojí souběžnou část ul. Poštovní s ul. Mlýnskou. Tento úsek byl z původní dokumentace vyňatý z důvodu nevyřešených majetkoprávních vztahů </w:t>
      </w:r>
      <w:r w:rsidR="00BF4332">
        <w:t>vůči</w:t>
      </w:r>
      <w:r w:rsidRPr="00314B51">
        <w:t xml:space="preserve"> pozemku 236/1.</w:t>
      </w:r>
      <w:r w:rsidR="004E002F" w:rsidRPr="00314B51">
        <w:t xml:space="preserve"> Vzhledem k poloze a charakteru řešené komunikace není nutné navrhovat objízdnou trasu.</w:t>
      </w:r>
    </w:p>
    <w:p w14:paraId="6C5257D8" w14:textId="77777777" w:rsidR="00314B51" w:rsidRDefault="00314B51">
      <w:pPr>
        <w:rPr>
          <w:highlight w:val="yellow"/>
        </w:rPr>
      </w:pPr>
      <w:r>
        <w:rPr>
          <w:highlight w:val="yellow"/>
        </w:rPr>
        <w:br w:type="page"/>
      </w:r>
    </w:p>
    <w:p w14:paraId="7EDDCF38" w14:textId="77777777" w:rsidR="00DB7369" w:rsidRPr="00854761" w:rsidRDefault="00DB7369" w:rsidP="00314B51">
      <w:pPr>
        <w:pStyle w:val="AqpText"/>
        <w:rPr>
          <w:b/>
          <w:bCs/>
          <w:color w:val="595959" w:themeColor="text1" w:themeTint="A6"/>
          <w:kern w:val="32"/>
          <w:sz w:val="28"/>
          <w:szCs w:val="28"/>
          <w:highlight w:val="yellow"/>
        </w:rPr>
      </w:pPr>
    </w:p>
    <w:p w14:paraId="0BFA3211" w14:textId="106D3107" w:rsidR="00642961" w:rsidRPr="00314B51" w:rsidRDefault="00642961" w:rsidP="00642961">
      <w:pPr>
        <w:pStyle w:val="Nadpis1"/>
      </w:pPr>
      <w:bookmarkStart w:id="42" w:name="_Toc55577431"/>
      <w:r w:rsidRPr="00314B51">
        <w:t>PŘEHLED BUDOUCÍCH VLASTNÍKŮ A SPRÁVCŮ</w:t>
      </w:r>
      <w:bookmarkEnd w:id="42"/>
    </w:p>
    <w:tbl>
      <w:tblPr>
        <w:tblW w:w="96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7217"/>
      </w:tblGrid>
      <w:tr w:rsidR="00642961" w:rsidRPr="00314B51" w14:paraId="578680F7" w14:textId="77777777" w:rsidTr="00B208A3">
        <w:trPr>
          <w:trHeight w:val="181"/>
        </w:trPr>
        <w:tc>
          <w:tcPr>
            <w:tcW w:w="2405" w:type="dxa"/>
          </w:tcPr>
          <w:p w14:paraId="185F7BB6" w14:textId="77777777" w:rsidR="00642961" w:rsidRPr="00314B51" w:rsidRDefault="00642961" w:rsidP="00B208A3">
            <w:r w:rsidRPr="00314B51">
              <w:t>Vlastník:</w:t>
            </w:r>
          </w:p>
        </w:tc>
        <w:tc>
          <w:tcPr>
            <w:tcW w:w="7217" w:type="dxa"/>
          </w:tcPr>
          <w:p w14:paraId="2219BE2D" w14:textId="77777777" w:rsidR="00642961" w:rsidRPr="00314B51" w:rsidRDefault="00642961" w:rsidP="00B208A3">
            <w:r w:rsidRPr="00314B51">
              <w:t>Město Mikulov</w:t>
            </w:r>
          </w:p>
          <w:p w14:paraId="50A17BA5" w14:textId="77777777" w:rsidR="00642961" w:rsidRPr="00314B51" w:rsidRDefault="00642961" w:rsidP="00B208A3">
            <w:r w:rsidRPr="00314B51">
              <w:t>Náměstí 158/1</w:t>
            </w:r>
          </w:p>
          <w:p w14:paraId="5E1144BA" w14:textId="77777777" w:rsidR="00642961" w:rsidRPr="00314B51" w:rsidRDefault="00642961" w:rsidP="00B208A3">
            <w:r w:rsidRPr="00314B51">
              <w:t>692 01 Mikulov</w:t>
            </w:r>
          </w:p>
        </w:tc>
      </w:tr>
      <w:tr w:rsidR="00642961" w:rsidRPr="00314B51" w14:paraId="73C891CA" w14:textId="77777777" w:rsidTr="00642961">
        <w:trPr>
          <w:trHeight w:val="181"/>
        </w:trPr>
        <w:tc>
          <w:tcPr>
            <w:tcW w:w="2405" w:type="dxa"/>
          </w:tcPr>
          <w:p w14:paraId="5E0E6510" w14:textId="77777777" w:rsidR="00642961" w:rsidRPr="00314B51" w:rsidRDefault="00642961" w:rsidP="00B208A3">
            <w:r w:rsidRPr="00314B51">
              <w:t>Správce:</w:t>
            </w:r>
          </w:p>
        </w:tc>
        <w:tc>
          <w:tcPr>
            <w:tcW w:w="7217" w:type="dxa"/>
          </w:tcPr>
          <w:p w14:paraId="6947EEC7" w14:textId="77777777" w:rsidR="00642961" w:rsidRPr="00314B51" w:rsidRDefault="00642961" w:rsidP="00B208A3">
            <w:r w:rsidRPr="00314B51">
              <w:t>Město Mikulov</w:t>
            </w:r>
          </w:p>
          <w:p w14:paraId="07A02B94" w14:textId="77777777" w:rsidR="00642961" w:rsidRPr="00314B51" w:rsidRDefault="00642961" w:rsidP="00B208A3">
            <w:r w:rsidRPr="00314B51">
              <w:t>Náměstí 158/1</w:t>
            </w:r>
          </w:p>
          <w:p w14:paraId="26B473BB" w14:textId="77777777" w:rsidR="00642961" w:rsidRPr="00314B51" w:rsidRDefault="00642961" w:rsidP="00B208A3">
            <w:r w:rsidRPr="00314B51">
              <w:t>692 01 Mikulov</w:t>
            </w:r>
          </w:p>
        </w:tc>
      </w:tr>
    </w:tbl>
    <w:p w14:paraId="708DEFCF" w14:textId="77777777" w:rsidR="00637C67" w:rsidRPr="00314B51" w:rsidRDefault="00637C67" w:rsidP="00637C67">
      <w:pPr>
        <w:pStyle w:val="Nadpis1"/>
      </w:pPr>
      <w:bookmarkStart w:id="43" w:name="_Toc55577432"/>
      <w:r w:rsidRPr="00314B51">
        <w:t>PŘEDÁVÁNÍ ČÁSTÍ STAVBY DO UŽÍVÁNÍ</w:t>
      </w:r>
      <w:bookmarkEnd w:id="43"/>
    </w:p>
    <w:p w14:paraId="1035DB1A" w14:textId="77777777" w:rsidR="00637C67" w:rsidRPr="00314B51" w:rsidRDefault="004E002F" w:rsidP="00637C67">
      <w:pPr>
        <w:pStyle w:val="AqpText"/>
      </w:pPr>
      <w:r w:rsidRPr="00314B51">
        <w:t>Řešená komunikace bude</w:t>
      </w:r>
      <w:r w:rsidR="00637C67" w:rsidRPr="00314B51">
        <w:t xml:space="preserve"> uvedena do provozu jako jeden celek. </w:t>
      </w:r>
    </w:p>
    <w:p w14:paraId="7D233481" w14:textId="77777777" w:rsidR="00637C67" w:rsidRPr="00314B51" w:rsidRDefault="00637C67" w:rsidP="00637C67">
      <w:pPr>
        <w:pStyle w:val="Nadpis1"/>
      </w:pPr>
      <w:bookmarkStart w:id="44" w:name="_Toc55577433"/>
      <w:r w:rsidRPr="00314B51">
        <w:t>SOUHRNNÝ TECHNICKÝ POPIS STAVBY</w:t>
      </w:r>
      <w:bookmarkEnd w:id="44"/>
    </w:p>
    <w:p w14:paraId="30909741" w14:textId="77777777" w:rsidR="00314B51" w:rsidRPr="00314B51" w:rsidRDefault="00314B51" w:rsidP="00314B51">
      <w:pPr>
        <w:pStyle w:val="AqpText"/>
      </w:pPr>
      <w:r w:rsidRPr="00314B51">
        <w:t>Rekonstrukce stávající komunikace navazuje na stavbu „Mikulov – ul. Poštovní oprava kanalizace a vodovodu“ v rámci které byla v ulici provedena oprava vodovodního potrubí a kanalizační stoky.</w:t>
      </w:r>
    </w:p>
    <w:p w14:paraId="36075A2D" w14:textId="77777777" w:rsidR="00314B51" w:rsidRPr="00314B51" w:rsidRDefault="00314B51" w:rsidP="00314B51">
      <w:pPr>
        <w:pStyle w:val="AqpText"/>
      </w:pPr>
      <w:r w:rsidRPr="00314B51">
        <w:t xml:space="preserve">V rámci tohoto dodatku k projektové dokumentaci je řešena ETAPA 2 rekonstrukce místní komunikace ul. Poštovní v Mikulově, při které bude realizován dříve vynechaný úsek délky cca </w:t>
      </w:r>
      <w:proofErr w:type="gramStart"/>
      <w:r w:rsidRPr="00314B51">
        <w:t>43m</w:t>
      </w:r>
      <w:proofErr w:type="gramEnd"/>
      <w:r w:rsidRPr="00314B51">
        <w:t>, který propojí souběžnou část ul. Poštovní s ul. Mlýnskou. Tento úsek byl z původní dokumentace vyňatý z důvodu nevyřešených majetkoprávních vztahů na pozemku 236/1.</w:t>
      </w:r>
    </w:p>
    <w:p w14:paraId="60ABC504" w14:textId="531B47B7" w:rsidR="004E002F" w:rsidRPr="00314B51" w:rsidRDefault="00314B51" w:rsidP="00314B51">
      <w:pPr>
        <w:pStyle w:val="AqpText"/>
        <w:rPr>
          <w:bCs/>
        </w:rPr>
      </w:pPr>
      <w:r w:rsidRPr="00314B51">
        <w:t xml:space="preserve">Ulice Poštovní je místní komunikací III. třídy. Navržené řešení respektuje původní dopravní uspořádání jednopruhové jednosměrné komunikace, průjezdné ve směru od Ulice Česká po ulici Mlýnská. Ve staničení Součástí řešení bude i předláždění stávajícího sjezdu na pozemek </w:t>
      </w:r>
      <w:proofErr w:type="spellStart"/>
      <w:r w:rsidRPr="00314B51">
        <w:t>p.č</w:t>
      </w:r>
      <w:proofErr w:type="spellEnd"/>
      <w:r w:rsidRPr="00314B51">
        <w:t>. 236/1 a okolní zpevněné plochy v nezbytném rozsahu stavby.</w:t>
      </w:r>
    </w:p>
    <w:p w14:paraId="38B20425" w14:textId="77777777" w:rsidR="003B24B3" w:rsidRPr="00BF4332" w:rsidRDefault="00066AEC" w:rsidP="001F19EA">
      <w:pPr>
        <w:pStyle w:val="Nadpis2"/>
        <w:numPr>
          <w:ilvl w:val="1"/>
          <w:numId w:val="7"/>
        </w:numPr>
      </w:pPr>
      <w:bookmarkStart w:id="45" w:name="_Toc55577212"/>
      <w:bookmarkStart w:id="46" w:name="_Toc55577434"/>
      <w:r w:rsidRPr="00BF4332">
        <w:t>Technický popis jednotlivých objektů</w:t>
      </w:r>
      <w:bookmarkEnd w:id="45"/>
      <w:bookmarkEnd w:id="46"/>
    </w:p>
    <w:p w14:paraId="2055C32E" w14:textId="77777777" w:rsidR="004A24FB" w:rsidRPr="00BF4332" w:rsidRDefault="004A24FB" w:rsidP="001F19EA">
      <w:pPr>
        <w:pStyle w:val="Nadpis3"/>
        <w:numPr>
          <w:ilvl w:val="2"/>
          <w:numId w:val="7"/>
        </w:numPr>
      </w:pPr>
      <w:bookmarkStart w:id="47" w:name="_Toc55577213"/>
      <w:bookmarkStart w:id="48" w:name="_Toc55577435"/>
      <w:r w:rsidRPr="00BF4332">
        <w:t>Pozemní komunikace</w:t>
      </w:r>
      <w:bookmarkEnd w:id="47"/>
      <w:bookmarkEnd w:id="48"/>
      <w:r w:rsidR="003222ED" w:rsidRPr="00BF4332">
        <w:tab/>
      </w:r>
      <w:r w:rsidR="003222ED" w:rsidRPr="00BF4332">
        <w:tab/>
      </w:r>
    </w:p>
    <w:p w14:paraId="424DD0DB" w14:textId="64EDF664" w:rsidR="001F19EA" w:rsidRPr="00BF4332" w:rsidRDefault="001F19EA" w:rsidP="001F19EA">
      <w:pPr>
        <w:pStyle w:val="Nadpis4"/>
        <w:ind w:left="864" w:hanging="155"/>
      </w:pPr>
      <w:r w:rsidRPr="00BF4332">
        <w:rPr>
          <w:u w:val="single"/>
        </w:rPr>
        <w:t>SO 102</w:t>
      </w:r>
      <w:r w:rsidR="00314B51" w:rsidRPr="00BF4332">
        <w:rPr>
          <w:u w:val="single"/>
        </w:rPr>
        <w:t>.1</w:t>
      </w:r>
      <w:r w:rsidRPr="00BF4332">
        <w:rPr>
          <w:u w:val="single"/>
        </w:rPr>
        <w:t xml:space="preserve"> – Oprava pozemní komunikace – ul. Poštovní</w:t>
      </w:r>
      <w:r w:rsidR="00BF4332" w:rsidRPr="00BF4332">
        <w:rPr>
          <w:u w:val="single"/>
        </w:rPr>
        <w:t>, ETAPA 2</w:t>
      </w:r>
    </w:p>
    <w:p w14:paraId="3E523BB3" w14:textId="77777777" w:rsidR="001F19EA" w:rsidRPr="0010186B" w:rsidRDefault="001F19EA" w:rsidP="001F19EA">
      <w:pPr>
        <w:pStyle w:val="AqpText"/>
        <w:rPr>
          <w:b/>
        </w:rPr>
      </w:pPr>
      <w:r w:rsidRPr="0010186B">
        <w:rPr>
          <w:b/>
        </w:rPr>
        <w:t>Všeobecně</w:t>
      </w:r>
    </w:p>
    <w:p w14:paraId="7A629FE8" w14:textId="77777777" w:rsidR="0010186B" w:rsidRDefault="00622DB5" w:rsidP="001F19EA">
      <w:pPr>
        <w:pStyle w:val="AqpText"/>
      </w:pPr>
      <w:r w:rsidRPr="0010186B">
        <w:t xml:space="preserve">V rámci tohoto dodatku k projektové dokumentaci je řešen </w:t>
      </w:r>
      <w:r w:rsidR="001F19EA" w:rsidRPr="0010186B">
        <w:t>jednopruhov</w:t>
      </w:r>
      <w:r w:rsidRPr="0010186B">
        <w:t>ý</w:t>
      </w:r>
      <w:r w:rsidR="001F19EA" w:rsidRPr="0010186B">
        <w:t xml:space="preserve"> jednosměrn</w:t>
      </w:r>
      <w:r w:rsidRPr="0010186B">
        <w:t xml:space="preserve">ý úsek </w:t>
      </w:r>
      <w:r w:rsidR="001F19EA" w:rsidRPr="0010186B">
        <w:t>komunikac</w:t>
      </w:r>
      <w:r w:rsidRPr="0010186B">
        <w:t>e</w:t>
      </w:r>
      <w:r w:rsidR="001F19EA" w:rsidRPr="0010186B">
        <w:t xml:space="preserve"> </w:t>
      </w:r>
      <w:r w:rsidR="006555FB" w:rsidRPr="0010186B">
        <w:t xml:space="preserve">ul. Poštovní </w:t>
      </w:r>
      <w:r w:rsidR="001F19EA" w:rsidRPr="0010186B">
        <w:t xml:space="preserve">délky </w:t>
      </w:r>
      <w:r w:rsidRPr="0010186B">
        <w:t>43</w:t>
      </w:r>
      <w:r w:rsidR="001F19EA" w:rsidRPr="0010186B">
        <w:t>,</w:t>
      </w:r>
      <w:r w:rsidRPr="0010186B">
        <w:t>17</w:t>
      </w:r>
      <w:r w:rsidR="001F19EA" w:rsidRPr="0010186B">
        <w:t xml:space="preserve"> m. </w:t>
      </w:r>
      <w:r w:rsidRPr="0010186B">
        <w:t xml:space="preserve">Tento úsek, který propojí souběžnou část ul. Poštovní s ul. Mlýnskou byl z původní dokumentace „Mikulov, ul. Mlýnská a Poštovní – oprava komunikace“ (ETAPA 1) vyňatý z důvodu nevyřešených majetkoprávních vztahů vůči pozemku 236/1. </w:t>
      </w:r>
      <w:r w:rsidR="001F19EA" w:rsidRPr="0010186B">
        <w:t xml:space="preserve">Šířka komunikace v celé délce činí </w:t>
      </w:r>
      <w:r w:rsidRPr="0010186B">
        <w:t xml:space="preserve">3,9 až </w:t>
      </w:r>
      <w:r w:rsidR="001F19EA" w:rsidRPr="0010186B">
        <w:t>4,0 m</w:t>
      </w:r>
      <w:r w:rsidR="006555FB" w:rsidRPr="0010186B">
        <w:t xml:space="preserve"> mezi navrženými obrubami.</w:t>
      </w:r>
      <w:r w:rsidRPr="0010186B">
        <w:t xml:space="preserve"> Přičemž </w:t>
      </w:r>
      <w:r w:rsidR="00E00680" w:rsidRPr="0010186B">
        <w:t xml:space="preserve">limitujícím </w:t>
      </w:r>
      <w:r w:rsidR="006555FB" w:rsidRPr="0010186B">
        <w:t>faktorem, který brání jednotné šířce 4,0m je stávající stožár VO a oboustranný souběh podzemních inženýrských sítí (VN, NN, SLP, VO).</w:t>
      </w:r>
    </w:p>
    <w:p w14:paraId="73C90935" w14:textId="44AE1362" w:rsidR="001F19EA" w:rsidRPr="0010186B" w:rsidRDefault="0010186B" w:rsidP="001F19EA">
      <w:pPr>
        <w:pStyle w:val="AqpText"/>
        <w:rPr>
          <w:b/>
        </w:rPr>
      </w:pPr>
      <w:r>
        <w:t xml:space="preserve">Hlavní </w:t>
      </w:r>
      <w:r w:rsidRPr="005B49B4">
        <w:t>změna spočívá v konstrukčním sjednocení řešeného úseku s širším okolím, kdy bude stávající silně poškozená betonová vozovka nahrazena vozovkou asfaltovou.</w:t>
      </w:r>
      <w:r w:rsidR="006555FB" w:rsidRPr="0010186B">
        <w:t xml:space="preserve"> </w:t>
      </w:r>
    </w:p>
    <w:p w14:paraId="02732587" w14:textId="77777777" w:rsidR="001F19EA" w:rsidRPr="0010186B" w:rsidRDefault="001F19EA" w:rsidP="001F19EA">
      <w:pPr>
        <w:pStyle w:val="AqpText"/>
        <w:rPr>
          <w:b/>
        </w:rPr>
      </w:pPr>
      <w:r w:rsidRPr="0010186B">
        <w:rPr>
          <w:b/>
        </w:rPr>
        <w:t>Směrové a výškové řešení stavby</w:t>
      </w:r>
    </w:p>
    <w:p w14:paraId="73853769" w14:textId="58ABBEB0" w:rsidR="0010186B" w:rsidRPr="0010186B" w:rsidRDefault="001F19EA" w:rsidP="001F19EA">
      <w:pPr>
        <w:pStyle w:val="AqpText"/>
      </w:pPr>
      <w:r w:rsidRPr="0010186B">
        <w:t>Rekonstrukce je navržena ve stávající trase pouze s</w:t>
      </w:r>
      <w:r w:rsidR="006555FB" w:rsidRPr="0010186B">
        <w:t xml:space="preserve"> drobným vyrovnáním </w:t>
      </w:r>
      <w:r w:rsidRPr="0010186B">
        <w:t>nivelety. Šířkové uspořádání jízdního pruhu zůstane nezměněno.</w:t>
      </w:r>
    </w:p>
    <w:p w14:paraId="61A31452" w14:textId="77777777" w:rsidR="001F19EA" w:rsidRPr="0010186B" w:rsidRDefault="001F19EA" w:rsidP="001F19EA">
      <w:pPr>
        <w:pStyle w:val="AqpText"/>
        <w:rPr>
          <w:b/>
          <w:bCs/>
        </w:rPr>
      </w:pPr>
      <w:r w:rsidRPr="0010186B">
        <w:rPr>
          <w:b/>
          <w:bCs/>
        </w:rPr>
        <w:t>Zemní práce</w:t>
      </w:r>
    </w:p>
    <w:p w14:paraId="484F66F4" w14:textId="77777777" w:rsidR="001F19EA" w:rsidRPr="0010186B" w:rsidRDefault="001F19EA" w:rsidP="001F19EA">
      <w:pPr>
        <w:jc w:val="both"/>
      </w:pPr>
      <w:r w:rsidRPr="0010186B">
        <w:t xml:space="preserve">V rámci stavby bude provedeno vybourání stávající vozovky a výkopy pro novou konstrukci, popř. výměnu zemin v aktivní zóně. Požadovaná únosnost zemní pláně pod komunikacemi a zpevněnými plochami je Edef,2 ≥ 45 </w:t>
      </w:r>
      <w:proofErr w:type="spellStart"/>
      <w:r w:rsidRPr="0010186B">
        <w:t>MPa</w:t>
      </w:r>
      <w:proofErr w:type="spellEnd"/>
      <w:r w:rsidRPr="0010186B">
        <w:t xml:space="preserve"> při poměru Edef,2/ Edef,1 splňujícím požadavky ČSN 72 1006 pro daný typ zeminy nacházející se v podloží. V celé hloubce aktivní zóny (0,5 m pod zemní plání) musí být dosažena míra zhutnění D = min. </w:t>
      </w:r>
      <w:r w:rsidRPr="0010186B">
        <w:lastRenderedPageBreak/>
        <w:t>100 % PS. Kontrolní a průkazní zkoušky na zemním tělese budou prováděny dle norem ČSN 72 1006 a ČSN 73 6133.</w:t>
      </w:r>
    </w:p>
    <w:p w14:paraId="292D7E53" w14:textId="77777777" w:rsidR="001F19EA" w:rsidRPr="0010186B" w:rsidRDefault="001F19EA" w:rsidP="001F19EA">
      <w:pPr>
        <w:pStyle w:val="AqpText"/>
      </w:pPr>
      <w:r w:rsidRPr="0010186B">
        <w:t xml:space="preserve">Pokud zemní pláň / resp. aktivní zóna, nebude s ohledem na kvalitu zemin a klimatické podmínky v průběhu stavby splňovat výše uvedené požadavky, bude po odsouhlasení TDI a geotechnika stavby provedena výměna podloží v </w:t>
      </w:r>
      <w:proofErr w:type="spellStart"/>
      <w:r w:rsidRPr="0010186B">
        <w:t>tl</w:t>
      </w:r>
      <w:proofErr w:type="spellEnd"/>
      <w:r w:rsidRPr="0010186B">
        <w:t xml:space="preserve">. 500mm. Výměnu podloží i násypy je třeba provést z dostatečně kvalitního, </w:t>
      </w:r>
      <w:proofErr w:type="spellStart"/>
      <w:r w:rsidRPr="0010186B">
        <w:t>nenamrzavého</w:t>
      </w:r>
      <w:proofErr w:type="spellEnd"/>
      <w:r w:rsidRPr="0010186B">
        <w:t xml:space="preserve"> a zhutnitelného materiálu. V rozpočtu je udávána kubatura hotové vrstvy. V rámci položky nákup vhodného materiálu je třeba započítat i jeho dopravu na staveniště.  </w:t>
      </w:r>
    </w:p>
    <w:p w14:paraId="51540E44" w14:textId="77777777" w:rsidR="001F19EA" w:rsidRPr="0010186B" w:rsidRDefault="001F19EA" w:rsidP="001F19EA">
      <w:pPr>
        <w:pStyle w:val="AqpText"/>
      </w:pPr>
      <w:r w:rsidRPr="0010186B">
        <w:t xml:space="preserve">Veškerá zemina vytěžená z odkopávek, rýh a výkopů pro vodovod, bude odvezena na skládku. </w:t>
      </w:r>
    </w:p>
    <w:p w14:paraId="20B437EC" w14:textId="77777777" w:rsidR="001F19EA" w:rsidRPr="0010186B" w:rsidRDefault="001F19EA" w:rsidP="001F19EA">
      <w:pPr>
        <w:pStyle w:val="AqpText"/>
        <w:rPr>
          <w:b/>
        </w:rPr>
      </w:pPr>
      <w:r w:rsidRPr="0010186B">
        <w:rPr>
          <w:b/>
        </w:rPr>
        <w:t>Návrh zpevněných ploch</w:t>
      </w:r>
    </w:p>
    <w:p w14:paraId="6370C614" w14:textId="77777777" w:rsidR="00D55F7B" w:rsidRPr="0010186B" w:rsidRDefault="00D55F7B" w:rsidP="00D55F7B">
      <w:pPr>
        <w:pStyle w:val="AqpText"/>
        <w:spacing w:before="240" w:after="60"/>
        <w:rPr>
          <w:b/>
          <w:i/>
        </w:rPr>
      </w:pPr>
      <w:r w:rsidRPr="0010186B">
        <w:rPr>
          <w:b/>
          <w:i/>
        </w:rPr>
        <w:t>Konstrukce 1 – asfaltová vozovka</w:t>
      </w:r>
    </w:p>
    <w:tbl>
      <w:tblPr>
        <w:tblStyle w:val="Svtlmkatabulky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418"/>
        <w:gridCol w:w="1554"/>
        <w:gridCol w:w="1985"/>
      </w:tblGrid>
      <w:tr w:rsidR="00D55F7B" w:rsidRPr="0010186B" w14:paraId="6E12C4F4" w14:textId="77777777" w:rsidTr="00A92B25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C78D" w14:textId="77777777" w:rsidR="00D55F7B" w:rsidRPr="0010186B" w:rsidRDefault="00D55F7B" w:rsidP="00A92B25">
            <w:pPr>
              <w:spacing w:before="60"/>
            </w:pPr>
            <w:r w:rsidRPr="0010186B">
              <w:t>Asfaltový beton pro obrusné vrstvy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67B4" w14:textId="77777777" w:rsidR="00D55F7B" w:rsidRPr="0010186B" w:rsidRDefault="00D55F7B" w:rsidP="00A92B25">
            <w:pPr>
              <w:spacing w:before="60"/>
            </w:pPr>
            <w:r w:rsidRPr="0010186B">
              <w:t>ACO 11+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4B6B" w14:textId="77777777" w:rsidR="00D55F7B" w:rsidRPr="0010186B" w:rsidRDefault="00D55F7B" w:rsidP="00A92B25">
            <w:pPr>
              <w:spacing w:before="60"/>
            </w:pPr>
            <w:r w:rsidRPr="0010186B">
              <w:t>40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1858" w14:textId="77777777" w:rsidR="00D55F7B" w:rsidRPr="0010186B" w:rsidRDefault="00D55F7B" w:rsidP="00A92B25">
            <w:pPr>
              <w:spacing w:before="60"/>
            </w:pPr>
            <w:r w:rsidRPr="0010186B">
              <w:t>ČSN 73 6121</w:t>
            </w:r>
          </w:p>
        </w:tc>
      </w:tr>
      <w:tr w:rsidR="00D55F7B" w:rsidRPr="0010186B" w14:paraId="35865FB6" w14:textId="77777777" w:rsidTr="00A92B25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AE70" w14:textId="77777777" w:rsidR="00D55F7B" w:rsidRPr="0010186B" w:rsidRDefault="00D55F7B" w:rsidP="00A92B25">
            <w:pPr>
              <w:spacing w:before="60"/>
            </w:pPr>
            <w:r w:rsidRPr="0010186B">
              <w:t>Spojovací postřik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EACF" w14:textId="77777777" w:rsidR="00D55F7B" w:rsidRPr="0010186B" w:rsidRDefault="00D55F7B" w:rsidP="00A92B25">
            <w:pPr>
              <w:spacing w:before="60"/>
            </w:pPr>
            <w:r w:rsidRPr="0010186B">
              <w:t>PS-EK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E529" w14:textId="77777777" w:rsidR="00D55F7B" w:rsidRPr="0010186B" w:rsidRDefault="00D55F7B" w:rsidP="00A92B25">
            <w:pPr>
              <w:spacing w:before="60"/>
            </w:pPr>
            <w:r w:rsidRPr="0010186B">
              <w:t>0,20 kg/m</w:t>
            </w:r>
            <w:r w:rsidRPr="0010186B"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2732" w14:textId="77777777" w:rsidR="00D55F7B" w:rsidRPr="0010186B" w:rsidRDefault="00D55F7B" w:rsidP="00A92B25">
            <w:pPr>
              <w:spacing w:before="60"/>
            </w:pPr>
            <w:r w:rsidRPr="0010186B">
              <w:t>ČSN 73 6129</w:t>
            </w:r>
          </w:p>
        </w:tc>
      </w:tr>
      <w:tr w:rsidR="00D55F7B" w:rsidRPr="0010186B" w14:paraId="272DB3EE" w14:textId="77777777" w:rsidTr="00A92B25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ABF2" w14:textId="77777777" w:rsidR="00D55F7B" w:rsidRPr="0010186B" w:rsidRDefault="00D55F7B" w:rsidP="00A92B25">
            <w:pPr>
              <w:spacing w:before="60"/>
            </w:pPr>
            <w:r w:rsidRPr="0010186B">
              <w:t>Asfaltový beton pro podkladní vrstvy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5329" w14:textId="77777777" w:rsidR="00D55F7B" w:rsidRPr="0010186B" w:rsidRDefault="00D55F7B" w:rsidP="00A92B25">
            <w:pPr>
              <w:spacing w:before="60"/>
            </w:pPr>
            <w:r w:rsidRPr="0010186B">
              <w:t>ACP 16+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0344" w14:textId="77777777" w:rsidR="00D55F7B" w:rsidRPr="0010186B" w:rsidRDefault="00D55F7B" w:rsidP="00A92B25">
            <w:pPr>
              <w:spacing w:before="60"/>
            </w:pPr>
            <w:r w:rsidRPr="0010186B">
              <w:t>70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2A76" w14:textId="77777777" w:rsidR="00D55F7B" w:rsidRPr="0010186B" w:rsidRDefault="00D55F7B" w:rsidP="00A92B25">
            <w:pPr>
              <w:spacing w:before="60"/>
            </w:pPr>
            <w:r w:rsidRPr="0010186B">
              <w:t>ČSN 73 6121</w:t>
            </w:r>
          </w:p>
        </w:tc>
      </w:tr>
      <w:tr w:rsidR="00D55F7B" w:rsidRPr="0010186B" w14:paraId="06341704" w14:textId="77777777" w:rsidTr="00A92B25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7ABE" w14:textId="77777777" w:rsidR="00D55F7B" w:rsidRPr="0010186B" w:rsidRDefault="00D55F7B" w:rsidP="00A92B25">
            <w:pPr>
              <w:spacing w:before="60"/>
            </w:pPr>
            <w:r w:rsidRPr="0010186B">
              <w:t>Infiltrační postřik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973A" w14:textId="77777777" w:rsidR="00D55F7B" w:rsidRPr="0010186B" w:rsidRDefault="00D55F7B" w:rsidP="00A92B25">
            <w:pPr>
              <w:spacing w:before="60"/>
            </w:pPr>
            <w:r w:rsidRPr="0010186B">
              <w:t>PI-EK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5B80" w14:textId="77777777" w:rsidR="00D55F7B" w:rsidRPr="0010186B" w:rsidRDefault="00D55F7B" w:rsidP="00A92B25">
            <w:pPr>
              <w:spacing w:before="60"/>
            </w:pPr>
            <w:r w:rsidRPr="0010186B">
              <w:t>0,5 kg/m</w:t>
            </w:r>
            <w:r w:rsidRPr="0010186B"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DF4B" w14:textId="77777777" w:rsidR="00D55F7B" w:rsidRPr="0010186B" w:rsidRDefault="00D55F7B" w:rsidP="00A92B25">
            <w:pPr>
              <w:spacing w:before="60"/>
            </w:pPr>
            <w:r w:rsidRPr="0010186B">
              <w:t>ČSN 73 6129</w:t>
            </w:r>
          </w:p>
        </w:tc>
      </w:tr>
      <w:tr w:rsidR="00D55F7B" w:rsidRPr="0010186B" w14:paraId="17538C36" w14:textId="77777777" w:rsidTr="00A92B25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B4F8" w14:textId="77777777" w:rsidR="00D55F7B" w:rsidRPr="0010186B" w:rsidRDefault="00D55F7B" w:rsidP="00A92B25">
            <w:pPr>
              <w:spacing w:before="60"/>
            </w:pPr>
            <w:r w:rsidRPr="0010186B">
              <w:t>Štěrkodrť fr. 0/32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50A1" w14:textId="77777777" w:rsidR="00D55F7B" w:rsidRPr="0010186B" w:rsidRDefault="00D55F7B" w:rsidP="00A92B25">
            <w:pPr>
              <w:spacing w:before="60"/>
            </w:pPr>
            <w:r w:rsidRPr="0010186B">
              <w:t>ŠD</w:t>
            </w:r>
            <w:r w:rsidRPr="0010186B">
              <w:rPr>
                <w:vertAlign w:val="subscript"/>
              </w:rPr>
              <w:t>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15B8" w14:textId="77777777" w:rsidR="00D55F7B" w:rsidRPr="0010186B" w:rsidRDefault="00D55F7B" w:rsidP="00A92B25">
            <w:pPr>
              <w:spacing w:before="60"/>
            </w:pPr>
            <w:r w:rsidRPr="0010186B">
              <w:t>200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F687" w14:textId="77777777" w:rsidR="00D55F7B" w:rsidRPr="0010186B" w:rsidRDefault="00D55F7B" w:rsidP="00A92B25">
            <w:pPr>
              <w:spacing w:before="60"/>
            </w:pPr>
            <w:r w:rsidRPr="0010186B">
              <w:t>ČSN 73 6126-1</w:t>
            </w:r>
          </w:p>
        </w:tc>
      </w:tr>
      <w:tr w:rsidR="00D55F7B" w:rsidRPr="0010186B" w14:paraId="533F55D9" w14:textId="77777777" w:rsidTr="00A92B25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AE22" w14:textId="77777777" w:rsidR="00D55F7B" w:rsidRPr="0010186B" w:rsidRDefault="00D55F7B" w:rsidP="00A92B25">
            <w:pPr>
              <w:spacing w:before="60"/>
            </w:pPr>
            <w:r w:rsidRPr="0010186B">
              <w:t>Štěrkodrť fr. 0/63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493B" w14:textId="77777777" w:rsidR="00D55F7B" w:rsidRPr="0010186B" w:rsidRDefault="00D55F7B" w:rsidP="00A92B25">
            <w:pPr>
              <w:spacing w:before="60"/>
            </w:pPr>
            <w:r w:rsidRPr="0010186B">
              <w:t>ŠD</w:t>
            </w:r>
            <w:r w:rsidRPr="0010186B">
              <w:rPr>
                <w:vertAlign w:val="subscript"/>
              </w:rPr>
              <w:t>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5871" w14:textId="77777777" w:rsidR="00D55F7B" w:rsidRPr="0010186B" w:rsidRDefault="00D55F7B" w:rsidP="00A92B25">
            <w:pPr>
              <w:spacing w:before="60"/>
            </w:pPr>
            <w:r w:rsidRPr="0010186B">
              <w:t>min. 150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B233" w14:textId="77777777" w:rsidR="00D55F7B" w:rsidRPr="0010186B" w:rsidRDefault="00D55F7B" w:rsidP="00A92B25">
            <w:pPr>
              <w:spacing w:before="60"/>
            </w:pPr>
            <w:r w:rsidRPr="0010186B">
              <w:t>ČSN 73 6126-1</w:t>
            </w:r>
          </w:p>
        </w:tc>
      </w:tr>
      <w:tr w:rsidR="00D55F7B" w:rsidRPr="0010186B" w14:paraId="5617AEF9" w14:textId="77777777" w:rsidTr="00A92B25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3FCD4178" w14:textId="77777777" w:rsidR="00D55F7B" w:rsidRPr="0010186B" w:rsidRDefault="00D55F7B" w:rsidP="00A92B25">
            <w:pPr>
              <w:spacing w:before="60"/>
              <w:rPr>
                <w:b/>
              </w:rPr>
            </w:pPr>
            <w:r w:rsidRPr="0010186B">
              <w:rPr>
                <w:b/>
              </w:rPr>
              <w:t>CELKEM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055780D" w14:textId="77777777" w:rsidR="00D55F7B" w:rsidRPr="0010186B" w:rsidRDefault="00D55F7B" w:rsidP="00A92B25">
            <w:pPr>
              <w:spacing w:before="60"/>
              <w:rPr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</w:tcPr>
          <w:p w14:paraId="29EB744C" w14:textId="77777777" w:rsidR="00D55F7B" w:rsidRPr="0010186B" w:rsidRDefault="00D55F7B" w:rsidP="00A92B25">
            <w:pPr>
              <w:spacing w:before="60"/>
              <w:rPr>
                <w:b/>
              </w:rPr>
            </w:pPr>
            <w:r w:rsidRPr="0010186B">
              <w:rPr>
                <w:b/>
              </w:rPr>
              <w:t>min. 460 mm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48D95ED3" w14:textId="77777777" w:rsidR="00D55F7B" w:rsidRPr="0010186B" w:rsidRDefault="00D55F7B" w:rsidP="00A92B25">
            <w:pPr>
              <w:spacing w:before="60"/>
              <w:rPr>
                <w:b/>
              </w:rPr>
            </w:pPr>
          </w:p>
        </w:tc>
      </w:tr>
      <w:tr w:rsidR="00D55F7B" w:rsidRPr="0010186B" w14:paraId="5923B712" w14:textId="77777777" w:rsidTr="00A92B25">
        <w:trPr>
          <w:trHeight w:val="283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A07CFE" w14:textId="77777777" w:rsidR="00D55F7B" w:rsidRPr="0010186B" w:rsidRDefault="00D55F7B" w:rsidP="00A92B25">
            <w:pPr>
              <w:rPr>
                <w:i/>
                <w:iCs/>
                <w:color w:val="808080" w:themeColor="background1" w:themeShade="80"/>
              </w:rPr>
            </w:pPr>
            <w:r w:rsidRPr="0010186B">
              <w:rPr>
                <w:i/>
                <w:iCs/>
                <w:color w:val="808080" w:themeColor="background1" w:themeShade="80"/>
              </w:rPr>
              <w:t>Výměna podloží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8E803C0" w14:textId="77777777" w:rsidR="00D55F7B" w:rsidRPr="0010186B" w:rsidRDefault="00D55F7B" w:rsidP="00A92B25">
            <w:pPr>
              <w:rPr>
                <w:i/>
                <w:iCs/>
                <w:color w:val="808080" w:themeColor="background1" w:themeShade="80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57E4B0AB" w14:textId="77777777" w:rsidR="00D55F7B" w:rsidRPr="0010186B" w:rsidRDefault="00D55F7B" w:rsidP="00A92B25">
            <w:pPr>
              <w:rPr>
                <w:i/>
                <w:iCs/>
                <w:color w:val="808080" w:themeColor="background1" w:themeShade="80"/>
              </w:rPr>
            </w:pPr>
            <w:r w:rsidRPr="0010186B">
              <w:rPr>
                <w:i/>
                <w:iCs/>
                <w:color w:val="808080" w:themeColor="background1" w:themeShade="80"/>
              </w:rPr>
              <w:t>500 mm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5A7ABE" w14:textId="77777777" w:rsidR="00D55F7B" w:rsidRPr="0010186B" w:rsidRDefault="00D55F7B" w:rsidP="00A92B25">
            <w:pPr>
              <w:rPr>
                <w:i/>
                <w:iCs/>
                <w:color w:val="808080" w:themeColor="background1" w:themeShade="80"/>
              </w:rPr>
            </w:pPr>
          </w:p>
        </w:tc>
      </w:tr>
    </w:tbl>
    <w:p w14:paraId="4A3304AE" w14:textId="77777777" w:rsidR="00D55F7B" w:rsidRPr="0010186B" w:rsidRDefault="00D55F7B" w:rsidP="00D55F7B">
      <w:pPr>
        <w:pStyle w:val="AqpText"/>
        <w:rPr>
          <w:i/>
        </w:rPr>
      </w:pPr>
      <w:r w:rsidRPr="0010186B">
        <w:rPr>
          <w:i/>
        </w:rPr>
        <w:t>Zhutněná pláň na E</w:t>
      </w:r>
      <w:r w:rsidRPr="0010186B">
        <w:rPr>
          <w:i/>
          <w:vertAlign w:val="subscript"/>
        </w:rPr>
        <w:t xml:space="preserve">def,2 </w:t>
      </w:r>
      <w:r w:rsidRPr="0010186B">
        <w:rPr>
          <w:i/>
        </w:rPr>
        <w:t xml:space="preserve">= 45Mpa; na horní vrstvě ŠD min 100 </w:t>
      </w:r>
      <w:proofErr w:type="spellStart"/>
      <w:r w:rsidRPr="0010186B">
        <w:rPr>
          <w:i/>
        </w:rPr>
        <w:t>MPa</w:t>
      </w:r>
      <w:proofErr w:type="spellEnd"/>
      <w:r w:rsidRPr="0010186B">
        <w:rPr>
          <w:i/>
        </w:rPr>
        <w:t>.</w:t>
      </w:r>
    </w:p>
    <w:p w14:paraId="62D375F9" w14:textId="198EF71C" w:rsidR="004A24FB" w:rsidRPr="0010186B" w:rsidRDefault="004A24FB" w:rsidP="004A24FB">
      <w:pPr>
        <w:pStyle w:val="Nadpis3"/>
        <w:numPr>
          <w:ilvl w:val="2"/>
          <w:numId w:val="7"/>
        </w:numPr>
      </w:pPr>
      <w:bookmarkStart w:id="49" w:name="_Toc55577214"/>
      <w:bookmarkStart w:id="50" w:name="_Toc55577436"/>
      <w:r w:rsidRPr="0010186B">
        <w:t>Mostní objekty a zdi</w:t>
      </w:r>
      <w:bookmarkEnd w:id="49"/>
      <w:bookmarkEnd w:id="50"/>
    </w:p>
    <w:p w14:paraId="6561BE53" w14:textId="77777777" w:rsidR="004A24FB" w:rsidRPr="0010186B" w:rsidRDefault="003E35ED" w:rsidP="004A24FB">
      <w:pPr>
        <w:pStyle w:val="AqpText"/>
      </w:pPr>
      <w:r w:rsidRPr="0010186B">
        <w:t>Neobsahuje</w:t>
      </w:r>
      <w:r w:rsidR="004A24FB" w:rsidRPr="0010186B">
        <w:t>.</w:t>
      </w:r>
    </w:p>
    <w:p w14:paraId="71CF736E" w14:textId="77777777" w:rsidR="004A24FB" w:rsidRPr="0010186B" w:rsidRDefault="004A24FB" w:rsidP="004A24FB">
      <w:pPr>
        <w:pStyle w:val="Nadpis3"/>
        <w:numPr>
          <w:ilvl w:val="2"/>
          <w:numId w:val="7"/>
        </w:numPr>
      </w:pPr>
      <w:bookmarkStart w:id="51" w:name="_Toc55577215"/>
      <w:bookmarkStart w:id="52" w:name="_Toc55577437"/>
      <w:r w:rsidRPr="0010186B">
        <w:t>Odvodnění PK</w:t>
      </w:r>
      <w:bookmarkEnd w:id="51"/>
      <w:bookmarkEnd w:id="52"/>
    </w:p>
    <w:p w14:paraId="3E8C37C6" w14:textId="6184EBCF" w:rsidR="004A24FB" w:rsidRPr="003F31A1" w:rsidRDefault="0010186B" w:rsidP="004A24FB">
      <w:pPr>
        <w:pStyle w:val="AqpText"/>
      </w:pPr>
      <w:r w:rsidRPr="003F31A1">
        <w:t>Řešený úsek k</w:t>
      </w:r>
      <w:r w:rsidR="004A24FB" w:rsidRPr="003F31A1">
        <w:t>omunikace bud</w:t>
      </w:r>
      <w:r w:rsidR="003F31A1" w:rsidRPr="003F31A1">
        <w:t>e</w:t>
      </w:r>
      <w:r w:rsidR="004A24FB" w:rsidRPr="003F31A1">
        <w:t xml:space="preserve"> odvodněny podélným a příčným spádem do </w:t>
      </w:r>
      <w:r w:rsidR="003F31A1" w:rsidRPr="003F31A1">
        <w:t>u</w:t>
      </w:r>
      <w:r w:rsidR="004A24FB" w:rsidRPr="003F31A1">
        <w:t>liční vpust</w:t>
      </w:r>
      <w:r w:rsidR="003F31A1" w:rsidRPr="003F31A1">
        <w:t>i UV 04 vybudované v rámci ETAPY 1</w:t>
      </w:r>
      <w:r w:rsidR="004A24FB" w:rsidRPr="003F31A1">
        <w:t xml:space="preserve"> </w:t>
      </w:r>
      <w:r w:rsidR="003F31A1" w:rsidRPr="003F31A1">
        <w:t xml:space="preserve">na ul. Mlýnská. Tato je </w:t>
      </w:r>
      <w:r w:rsidR="004A24FB" w:rsidRPr="003F31A1">
        <w:t>zaústěn</w:t>
      </w:r>
      <w:r w:rsidR="003F31A1" w:rsidRPr="003F31A1">
        <w:t>a</w:t>
      </w:r>
      <w:r w:rsidR="004A24FB" w:rsidRPr="003F31A1">
        <w:t xml:space="preserve"> do rekonstruované jednotné kanalizace. Odvodňovací proužek bude tvořen </w:t>
      </w:r>
      <w:r w:rsidR="00113E41" w:rsidRPr="003F31A1">
        <w:t>dvouřádkem ze žulových kostek drobných</w:t>
      </w:r>
      <w:r w:rsidR="004A24FB" w:rsidRPr="003F31A1">
        <w:t xml:space="preserve"> se zaústěním do uliční vpusti.</w:t>
      </w:r>
      <w:r w:rsidR="00113E41" w:rsidRPr="003F31A1">
        <w:t xml:space="preserve"> Spáry dvouřádku budou vyplněny cementovou spárovací maltou.</w:t>
      </w:r>
      <w:r w:rsidR="004A24FB" w:rsidRPr="003F31A1">
        <w:t xml:space="preserve"> Minimální podélný spád navrženého odvodňovacího proužku je </w:t>
      </w:r>
      <w:proofErr w:type="gramStart"/>
      <w:r w:rsidR="004A24FB" w:rsidRPr="003F31A1">
        <w:t>0,3%</w:t>
      </w:r>
      <w:proofErr w:type="gramEnd"/>
      <w:r w:rsidR="004A24FB" w:rsidRPr="003F31A1">
        <w:t xml:space="preserve">. </w:t>
      </w:r>
    </w:p>
    <w:p w14:paraId="244487AA" w14:textId="08FB82AF" w:rsidR="004A24FB" w:rsidRPr="003F31A1" w:rsidRDefault="004A24FB" w:rsidP="004A24FB">
      <w:pPr>
        <w:pStyle w:val="AqpText"/>
      </w:pPr>
      <w:r w:rsidRPr="003F31A1">
        <w:t>Odvodnění podkladních vrstev komunikace a zpevněných ploch bude zajištěno podélným drenážním potrubím (trativodem), zaústěným do přípojek uličních vpustí</w:t>
      </w:r>
      <w:r w:rsidR="003F31A1" w:rsidRPr="003F31A1">
        <w:t xml:space="preserve">. </w:t>
      </w:r>
      <w:r w:rsidRPr="003F31A1">
        <w:t xml:space="preserve">Minimální podélný sklon trativodního potrubí je </w:t>
      </w:r>
      <w:proofErr w:type="gramStart"/>
      <w:r w:rsidRPr="003F31A1">
        <w:t>0,5%</w:t>
      </w:r>
      <w:proofErr w:type="gramEnd"/>
      <w:r w:rsidRPr="003F31A1">
        <w:t>.</w:t>
      </w:r>
    </w:p>
    <w:p w14:paraId="6FF8267D" w14:textId="77777777" w:rsidR="004A24FB" w:rsidRPr="003F31A1" w:rsidRDefault="004A24FB" w:rsidP="004A24FB">
      <w:pPr>
        <w:pStyle w:val="Nadpis3"/>
        <w:numPr>
          <w:ilvl w:val="2"/>
          <w:numId w:val="7"/>
        </w:numPr>
      </w:pPr>
      <w:bookmarkStart w:id="53" w:name="_Toc55577216"/>
      <w:bookmarkStart w:id="54" w:name="_Toc55577438"/>
      <w:r w:rsidRPr="003F31A1">
        <w:t>Tunely, podzemní stavby a galerie</w:t>
      </w:r>
      <w:bookmarkEnd w:id="53"/>
      <w:bookmarkEnd w:id="54"/>
    </w:p>
    <w:p w14:paraId="1DE97A2E" w14:textId="77777777" w:rsidR="004A24FB" w:rsidRPr="003F31A1" w:rsidRDefault="003E35ED" w:rsidP="004A24FB">
      <w:pPr>
        <w:pStyle w:val="AqpText"/>
      </w:pPr>
      <w:r w:rsidRPr="003F31A1">
        <w:t>Neobsahuje</w:t>
      </w:r>
      <w:r w:rsidR="004A24FB" w:rsidRPr="003F31A1">
        <w:t>.</w:t>
      </w:r>
    </w:p>
    <w:p w14:paraId="2100F86D" w14:textId="77777777" w:rsidR="00AF4A58" w:rsidRPr="003F31A1" w:rsidRDefault="004A24FB" w:rsidP="00AF4A58">
      <w:pPr>
        <w:pStyle w:val="Nadpis3"/>
        <w:numPr>
          <w:ilvl w:val="2"/>
          <w:numId w:val="7"/>
        </w:numPr>
      </w:pPr>
      <w:bookmarkStart w:id="55" w:name="_Toc55577217"/>
      <w:bookmarkStart w:id="56" w:name="_Toc55577439"/>
      <w:r w:rsidRPr="003F31A1">
        <w:t xml:space="preserve">Obslužná zařízení, </w:t>
      </w:r>
      <w:r w:rsidR="00AF4A58" w:rsidRPr="003F31A1">
        <w:t>veřejná parkoviště, únikové zóny a protihlukové clony</w:t>
      </w:r>
      <w:bookmarkEnd w:id="55"/>
      <w:bookmarkEnd w:id="56"/>
    </w:p>
    <w:p w14:paraId="3D472C8A" w14:textId="77777777" w:rsidR="00AF4A58" w:rsidRPr="003F31A1" w:rsidRDefault="003E35ED" w:rsidP="00AF4A58">
      <w:pPr>
        <w:pStyle w:val="AqpText"/>
      </w:pPr>
      <w:r w:rsidRPr="003F31A1">
        <w:t>Neobsahuje</w:t>
      </w:r>
      <w:r w:rsidR="00A86ED7" w:rsidRPr="003F31A1">
        <w:t>.</w:t>
      </w:r>
      <w:r w:rsidR="00AF4A58" w:rsidRPr="003F31A1">
        <w:tab/>
      </w:r>
      <w:r w:rsidR="00AF4A58" w:rsidRPr="003F31A1">
        <w:tab/>
      </w:r>
      <w:r w:rsidR="00AF4A58" w:rsidRPr="003F31A1">
        <w:tab/>
      </w:r>
    </w:p>
    <w:p w14:paraId="6E8473C9" w14:textId="77777777" w:rsidR="00AF4A58" w:rsidRPr="003F31A1" w:rsidRDefault="00AF4A58" w:rsidP="00AF4A58">
      <w:pPr>
        <w:pStyle w:val="Nadpis3"/>
        <w:numPr>
          <w:ilvl w:val="2"/>
          <w:numId w:val="7"/>
        </w:numPr>
      </w:pPr>
      <w:bookmarkStart w:id="57" w:name="_Toc55577218"/>
      <w:bookmarkStart w:id="58" w:name="_Toc55577440"/>
      <w:r w:rsidRPr="003F31A1">
        <w:t>Vybavení PK</w:t>
      </w:r>
      <w:bookmarkEnd w:id="57"/>
      <w:bookmarkEnd w:id="58"/>
    </w:p>
    <w:p w14:paraId="6A5AD510" w14:textId="77777777" w:rsidR="00AF4A58" w:rsidRPr="003F31A1" w:rsidRDefault="00AF4A58" w:rsidP="00AF4A58">
      <w:pPr>
        <w:pStyle w:val="AqpText"/>
        <w:numPr>
          <w:ilvl w:val="0"/>
          <w:numId w:val="40"/>
        </w:numPr>
      </w:pPr>
      <w:r w:rsidRPr="003F31A1">
        <w:t>Záchytné bezpečnostní zařízení</w:t>
      </w:r>
    </w:p>
    <w:p w14:paraId="39ACA825" w14:textId="77777777" w:rsidR="00A86ED7" w:rsidRPr="003F31A1" w:rsidRDefault="003E35ED" w:rsidP="00A86ED7">
      <w:pPr>
        <w:pStyle w:val="AqpText"/>
      </w:pPr>
      <w:r w:rsidRPr="003F31A1">
        <w:t>Neobsahuje</w:t>
      </w:r>
      <w:r w:rsidR="00A86ED7" w:rsidRPr="003F31A1">
        <w:t>.</w:t>
      </w:r>
    </w:p>
    <w:p w14:paraId="2FBB6B69" w14:textId="77777777" w:rsidR="003C4DF6" w:rsidRPr="000C7AD3" w:rsidRDefault="00AF4A58" w:rsidP="003C4DF6">
      <w:pPr>
        <w:pStyle w:val="AqpText"/>
        <w:numPr>
          <w:ilvl w:val="0"/>
          <w:numId w:val="40"/>
        </w:numPr>
      </w:pPr>
      <w:r w:rsidRPr="000C7AD3">
        <w:t>Dopravní značky, zařízení</w:t>
      </w:r>
    </w:p>
    <w:p w14:paraId="39A12819" w14:textId="77777777" w:rsidR="00DD0981" w:rsidRPr="000C7AD3" w:rsidRDefault="003C4DF6" w:rsidP="003C4DF6">
      <w:pPr>
        <w:pStyle w:val="AqpText"/>
      </w:pPr>
      <w:r w:rsidRPr="000C7AD3">
        <w:t>V prostoru řešené</w:t>
      </w:r>
      <w:r w:rsidR="00DD0981" w:rsidRPr="000C7AD3">
        <w:t>ho úseku ul. Poštovní bude</w:t>
      </w:r>
      <w:r w:rsidRPr="000C7AD3">
        <w:t xml:space="preserve"> zachováno stávající dopravní uspořádání </w:t>
      </w:r>
      <w:r w:rsidR="00DD0981" w:rsidRPr="000C7AD3">
        <w:t>i</w:t>
      </w:r>
      <w:r w:rsidRPr="000C7AD3">
        <w:t xml:space="preserve"> svisl</w:t>
      </w:r>
      <w:r w:rsidR="00DD0981" w:rsidRPr="000C7AD3">
        <w:t>é</w:t>
      </w:r>
      <w:r w:rsidRPr="000C7AD3">
        <w:t xml:space="preserve"> dopravní značení.</w:t>
      </w:r>
      <w:r w:rsidR="00DD0981" w:rsidRPr="000C7AD3">
        <w:t xml:space="preserve"> Vodorovné dopravní značení se v řešeném úseku nenachází.</w:t>
      </w:r>
    </w:p>
    <w:p w14:paraId="5B832B23" w14:textId="77777777" w:rsidR="00AF4A58" w:rsidRPr="005B7DBA" w:rsidRDefault="00AF4A58" w:rsidP="00AF4A58">
      <w:pPr>
        <w:pStyle w:val="AqpText"/>
        <w:numPr>
          <w:ilvl w:val="0"/>
          <w:numId w:val="40"/>
        </w:numPr>
      </w:pPr>
      <w:r w:rsidRPr="005B7DBA">
        <w:lastRenderedPageBreak/>
        <w:t>Veřejné osvětlení</w:t>
      </w:r>
    </w:p>
    <w:p w14:paraId="5F4437B5" w14:textId="04EF38D3" w:rsidR="00775F84" w:rsidRPr="005B7DBA" w:rsidRDefault="005B7DBA" w:rsidP="00775F84">
      <w:pPr>
        <w:pStyle w:val="AqpText"/>
      </w:pPr>
      <w:r w:rsidRPr="005B7DBA">
        <w:t>V</w:t>
      </w:r>
      <w:r w:rsidR="00DD0981" w:rsidRPr="005B7DBA">
        <w:t> rámci tzv. ETAPY 1 této stavby</w:t>
      </w:r>
      <w:r w:rsidRPr="005B7DBA">
        <w:t xml:space="preserve"> realizované v roce 2021 byl vyměněn jediný stávající stožár v řešeném úseku. Jiné stavební úpravy na VO se v rámci ETAPY 2 neuvažují</w:t>
      </w:r>
      <w:r w:rsidR="00DD0981" w:rsidRPr="005B7DBA">
        <w:t>.</w:t>
      </w:r>
    </w:p>
    <w:p w14:paraId="689B7641" w14:textId="77777777" w:rsidR="00AF4A58" w:rsidRPr="005B7DBA" w:rsidRDefault="00A86ED7" w:rsidP="00AF4A58">
      <w:pPr>
        <w:pStyle w:val="AqpText"/>
        <w:numPr>
          <w:ilvl w:val="0"/>
          <w:numId w:val="40"/>
        </w:numPr>
      </w:pPr>
      <w:r w:rsidRPr="005B7DBA">
        <w:t>Ochrany proti vniku volně žijících živočichů na komunikace a umožnění jejich migrace</w:t>
      </w:r>
    </w:p>
    <w:p w14:paraId="2F147800" w14:textId="77777777" w:rsidR="003C4DF6" w:rsidRPr="005B7DBA" w:rsidRDefault="003E35ED" w:rsidP="003C4DF6">
      <w:pPr>
        <w:pStyle w:val="AqpText"/>
      </w:pPr>
      <w:r w:rsidRPr="005B7DBA">
        <w:t>Neobsahuje</w:t>
      </w:r>
      <w:r w:rsidR="003C4DF6" w:rsidRPr="005B7DBA">
        <w:t>.</w:t>
      </w:r>
    </w:p>
    <w:p w14:paraId="3F4C706A" w14:textId="77777777" w:rsidR="00A86ED7" w:rsidRPr="005B7DBA" w:rsidRDefault="00A86ED7" w:rsidP="00AF4A58">
      <w:pPr>
        <w:pStyle w:val="AqpText"/>
        <w:numPr>
          <w:ilvl w:val="0"/>
          <w:numId w:val="40"/>
        </w:numPr>
      </w:pPr>
      <w:r w:rsidRPr="005B7DBA">
        <w:t xml:space="preserve">Clony a sítě proti oslnění </w:t>
      </w:r>
    </w:p>
    <w:p w14:paraId="7281793B" w14:textId="77777777" w:rsidR="003C4DF6" w:rsidRPr="005B7DBA" w:rsidRDefault="003E35ED" w:rsidP="003C4DF6">
      <w:pPr>
        <w:pStyle w:val="AqpText"/>
      </w:pPr>
      <w:r w:rsidRPr="005B7DBA">
        <w:t>Neobsahuje</w:t>
      </w:r>
      <w:r w:rsidR="003C4DF6" w:rsidRPr="005B7DBA">
        <w:t>.</w:t>
      </w:r>
    </w:p>
    <w:p w14:paraId="6C14CDC2" w14:textId="1F7EE669" w:rsidR="003C4DF6" w:rsidRPr="005B7DBA" w:rsidRDefault="003C4DF6" w:rsidP="003C4DF6">
      <w:pPr>
        <w:pStyle w:val="Nadpis1"/>
      </w:pPr>
      <w:bookmarkStart w:id="59" w:name="_Toc55577441"/>
      <w:r w:rsidRPr="005B7DBA">
        <w:t>VÝSLEDKY A ZÁVĚRY Z PODKLADŮ, PRŮZKUMŮ A MĚŘENÍ</w:t>
      </w:r>
      <w:bookmarkEnd w:id="59"/>
    </w:p>
    <w:p w14:paraId="625A0689" w14:textId="32B99F0B" w:rsidR="00775F84" w:rsidRPr="005B7DBA" w:rsidRDefault="00775F84" w:rsidP="00775F84">
      <w:pPr>
        <w:pStyle w:val="AqpText"/>
      </w:pPr>
      <w:r w:rsidRPr="005B7DBA">
        <w:t>Vzhledem k charakteru stavby a věcné a časové návaznosti na projekt rekonstrukce kanalizace a vodovodu vedený v režimu „havarijní opravy“ nebyly provedeny žádné vlastní průzkumy a měření vyjma místního šetření provedeného projektantem.</w:t>
      </w:r>
    </w:p>
    <w:p w14:paraId="75267918" w14:textId="77777777" w:rsidR="003C4DF6" w:rsidRPr="005B7DBA" w:rsidRDefault="003C4DF6" w:rsidP="003C4DF6">
      <w:pPr>
        <w:pStyle w:val="Nadpis1"/>
      </w:pPr>
      <w:bookmarkStart w:id="60" w:name="_Toc55577442"/>
      <w:r w:rsidRPr="005B7DBA">
        <w:t>DOTČENÁ OCHRANNÁ PÁSMA, CHRÁNĚNÁ ÚZEMÍ, SESUVNÁ ÚZEMÍ, KULTURNÍ PAMÁTKY, PAMÁTKOVÉ REZERVACE, PAMÁTKOVÉ ZÓNY</w:t>
      </w:r>
      <w:bookmarkEnd w:id="60"/>
    </w:p>
    <w:p w14:paraId="60008407" w14:textId="65AB0698" w:rsidR="003C4DF6" w:rsidRPr="005B7DBA" w:rsidRDefault="003C4DF6" w:rsidP="003C4DF6">
      <w:pPr>
        <w:pStyle w:val="AqpText"/>
      </w:pPr>
      <w:r w:rsidRPr="005B7DBA">
        <w:t>Zájmové území není chráněno zákonem o ochraně přírody a krajiny.</w:t>
      </w:r>
      <w:r w:rsidR="000C7AD3">
        <w:t xml:space="preserve"> Stavba se nachází v památkově chráněném území. </w:t>
      </w:r>
    </w:p>
    <w:p w14:paraId="41D37D79" w14:textId="77777777" w:rsidR="003C4DF6" w:rsidRPr="000C7AD3" w:rsidRDefault="003C4DF6" w:rsidP="003C4DF6">
      <w:pPr>
        <w:pStyle w:val="Nadpis1"/>
      </w:pPr>
      <w:bookmarkStart w:id="61" w:name="_Toc55577443"/>
      <w:r w:rsidRPr="000C7AD3">
        <w:t>ZÁSAH STAVBY DO ÚZEMÍ</w:t>
      </w:r>
      <w:bookmarkEnd w:id="61"/>
    </w:p>
    <w:p w14:paraId="69817055" w14:textId="1D3A5191" w:rsidR="00F774E8" w:rsidRDefault="000C7AD3" w:rsidP="003C4DF6">
      <w:pPr>
        <w:pStyle w:val="AqpText"/>
      </w:pPr>
      <w:r w:rsidRPr="000C7AD3">
        <w:t>Rekonstrukce je navržena ve stávající trase pouze s drobným vyrovnáním nivelety. Šířkové uspořádání jízdního pruhu zůstane nezměněno.</w:t>
      </w:r>
    </w:p>
    <w:p w14:paraId="6157D7A1" w14:textId="3A3D41D6" w:rsidR="000C7AD3" w:rsidRPr="000C7AD3" w:rsidRDefault="000C7AD3" w:rsidP="003C4DF6">
      <w:pPr>
        <w:pStyle w:val="AqpText"/>
      </w:pPr>
      <w:r>
        <w:t xml:space="preserve">Hlavní </w:t>
      </w:r>
      <w:r w:rsidRPr="005B49B4">
        <w:t>změna spočívá v konstrukčním sjednocení řešeného úseku s širším okolím, kdy bude stávající silně poškozená betonová vozovka nahrazena vozovkou asfaltovou.</w:t>
      </w:r>
    </w:p>
    <w:p w14:paraId="25BF63DE" w14:textId="77777777" w:rsidR="00F774E8" w:rsidRPr="000C7AD3" w:rsidRDefault="00F774E8" w:rsidP="00F774E8">
      <w:pPr>
        <w:pStyle w:val="Nadpis1"/>
      </w:pPr>
      <w:bookmarkStart w:id="62" w:name="_Toc55577444"/>
      <w:r w:rsidRPr="000C7AD3">
        <w:t>NÁROKY STAVBY NA ZDROJE A JEJÍ POTŘEBY</w:t>
      </w:r>
      <w:bookmarkEnd w:id="62"/>
    </w:p>
    <w:p w14:paraId="3A670035" w14:textId="77777777" w:rsidR="00654311" w:rsidRPr="000C7AD3" w:rsidRDefault="00654311" w:rsidP="00654311">
      <w:pPr>
        <w:pStyle w:val="AqpText"/>
      </w:pPr>
      <w:r w:rsidRPr="000C7AD3">
        <w:t>Jako zdroj elektrické energie se předpokládá využití mobilních zdrojů. Eventuálně po dohodě zhotovitele stavby se správci sítě, trafostanice v dané lokalitě.</w:t>
      </w:r>
    </w:p>
    <w:p w14:paraId="1C7FD2D0" w14:textId="77777777" w:rsidR="00654311" w:rsidRPr="000C7AD3" w:rsidRDefault="00654311" w:rsidP="00654311">
      <w:pPr>
        <w:pStyle w:val="AqpText"/>
      </w:pPr>
      <w:r w:rsidRPr="000C7AD3">
        <w:t>Technologickou vodu lze zajistit dovozem cisternami.</w:t>
      </w:r>
    </w:p>
    <w:p w14:paraId="6EC73C11" w14:textId="77777777" w:rsidR="00654311" w:rsidRPr="000C7AD3" w:rsidRDefault="00654311" w:rsidP="00654311">
      <w:pPr>
        <w:pStyle w:val="AqpText"/>
      </w:pPr>
      <w:r w:rsidRPr="000C7AD3">
        <w:t>Napojení na další zdroje energie není nutné.</w:t>
      </w:r>
    </w:p>
    <w:p w14:paraId="6C585574" w14:textId="77777777" w:rsidR="00654311" w:rsidRPr="000C7AD3" w:rsidRDefault="00654311" w:rsidP="00654311">
      <w:pPr>
        <w:pStyle w:val="AqpText"/>
      </w:pPr>
      <w:r w:rsidRPr="000C7AD3">
        <w:t>Zajištění zdrojů potřebných pro realizaci stavby bude řešit vybraný zhotovitel stavby.</w:t>
      </w:r>
    </w:p>
    <w:p w14:paraId="13D337F5" w14:textId="77777777" w:rsidR="00F774E8" w:rsidRPr="000C7AD3" w:rsidRDefault="00F774E8" w:rsidP="00F774E8">
      <w:pPr>
        <w:pStyle w:val="Nadpis1"/>
      </w:pPr>
      <w:bookmarkStart w:id="63" w:name="_Toc55577445"/>
      <w:r w:rsidRPr="000C7AD3">
        <w:t>VLIV STAVBY A PROVOZU NA PK NA ZDRAVÍ A ŽIVOTNÍ PROSTŘEDÍ</w:t>
      </w:r>
      <w:bookmarkEnd w:id="63"/>
    </w:p>
    <w:p w14:paraId="29166C60" w14:textId="77777777" w:rsidR="004D5624" w:rsidRPr="000C7AD3" w:rsidRDefault="004D5624" w:rsidP="004D5624">
      <w:pPr>
        <w:pStyle w:val="Nadpis2"/>
        <w:numPr>
          <w:ilvl w:val="0"/>
          <w:numId w:val="41"/>
        </w:numPr>
      </w:pPr>
      <w:bookmarkStart w:id="64" w:name="_Toc55577224"/>
      <w:bookmarkStart w:id="65" w:name="_Toc55577446"/>
      <w:r w:rsidRPr="000C7AD3">
        <w:t>Ochrana krajiny a přírody</w:t>
      </w:r>
      <w:bookmarkEnd w:id="64"/>
      <w:bookmarkEnd w:id="65"/>
    </w:p>
    <w:p w14:paraId="5C486575" w14:textId="297D16B7" w:rsidR="004D5624" w:rsidRPr="000C7AD3" w:rsidRDefault="004D5624" w:rsidP="004D5624">
      <w:pPr>
        <w:pStyle w:val="AqpText"/>
      </w:pPr>
      <w:r w:rsidRPr="000C7AD3">
        <w:t xml:space="preserve">Rekonstrukcí </w:t>
      </w:r>
      <w:r w:rsidR="000C7AD3" w:rsidRPr="000C7AD3">
        <w:t xml:space="preserve">řešeného úseku </w:t>
      </w:r>
      <w:r w:rsidR="00AF5FC1" w:rsidRPr="000C7AD3">
        <w:t>ulic</w:t>
      </w:r>
      <w:r w:rsidR="000C7AD3" w:rsidRPr="000C7AD3">
        <w:t>e</w:t>
      </w:r>
      <w:r w:rsidR="00AF5FC1" w:rsidRPr="000C7AD3">
        <w:t xml:space="preserve"> Poštovní</w:t>
      </w:r>
      <w:r w:rsidRPr="000C7AD3">
        <w:t xml:space="preserve"> nedojde k negativním vlivům stavby na životní prostředí. Způsob využití území zůstává stejný, nárůst dopravy v důsledku rekonstrukce se nepředpokládá. Vzhledem ke zlepšenému stavu vozovky dojde ke snížení hlučnosti a exhalací.</w:t>
      </w:r>
    </w:p>
    <w:p w14:paraId="60691763" w14:textId="77777777" w:rsidR="004D5624" w:rsidRPr="000C7AD3" w:rsidRDefault="004D5624" w:rsidP="004D5624">
      <w:pPr>
        <w:pStyle w:val="Nadpis2"/>
        <w:numPr>
          <w:ilvl w:val="0"/>
          <w:numId w:val="41"/>
        </w:numPr>
      </w:pPr>
      <w:bookmarkStart w:id="66" w:name="_Toc55577225"/>
      <w:bookmarkStart w:id="67" w:name="_Toc55577447"/>
      <w:r w:rsidRPr="000C7AD3">
        <w:t>Hluk</w:t>
      </w:r>
      <w:bookmarkEnd w:id="66"/>
      <w:bookmarkEnd w:id="67"/>
    </w:p>
    <w:p w14:paraId="3AB321A8" w14:textId="77777777" w:rsidR="004D5624" w:rsidRPr="000C7AD3" w:rsidRDefault="004D5624" w:rsidP="004D5624">
      <w:pPr>
        <w:pStyle w:val="AqpText"/>
        <w:spacing w:before="60"/>
      </w:pPr>
      <w:r w:rsidRPr="000C7AD3">
        <w:t>Realizací stavby nedojde k podstatné změně z hlediska hlukové zátěže.</w:t>
      </w:r>
    </w:p>
    <w:p w14:paraId="051F0B11" w14:textId="77777777" w:rsidR="004D5624" w:rsidRPr="00854761" w:rsidRDefault="004D5624" w:rsidP="004D5624">
      <w:pPr>
        <w:pStyle w:val="AqpText"/>
        <w:spacing w:before="60"/>
        <w:rPr>
          <w:highlight w:val="yellow"/>
        </w:rPr>
      </w:pPr>
      <w:r w:rsidRPr="000C7AD3">
        <w:t xml:space="preserve">Z hlediska hlukové zátěže bude mít větší vliv navržená výstavba, kdy hluk vzhledem k používání těžké mechanizace nelze zcela vyloučit. Opatření dodavatele stavby z hlediska rizika expozice hluku musí směřovat </w:t>
      </w:r>
      <w:r w:rsidRPr="000C7AD3">
        <w:lastRenderedPageBreak/>
        <w:t>k jeho minimalizaci. Jedná se zejména o sledování úrovně a doby expozice hluku, kontrolu hlukových emisí strojů, uvážlivé používání technologií, které mohou zvyšovat nebezpečí poškození sluchu, informování zaměstnanců o rizicích i výsledcích zdravotního sledování a důsledné používání osobních ochranných prostředků – kvalitních chráničů sluchu. Je nutno dbát na dodržování bezpečnostních přestávek u pracovníků, kteří nepřetržitě používají ochranné prostředky proti hluku. Dodavatel stavby bude používat stroje, které jsou v dobrém technickém stavu a splňují hygienické předpisy z hlediska hluku. Stroje budou pravidelně a řádně udržované.</w:t>
      </w:r>
    </w:p>
    <w:p w14:paraId="12F84745" w14:textId="77777777" w:rsidR="004D5624" w:rsidRPr="0033443B" w:rsidRDefault="004D5624" w:rsidP="004D5624">
      <w:pPr>
        <w:pStyle w:val="Nadpis2"/>
        <w:numPr>
          <w:ilvl w:val="0"/>
          <w:numId w:val="41"/>
        </w:numPr>
      </w:pPr>
      <w:bookmarkStart w:id="68" w:name="_Toc55577226"/>
      <w:bookmarkStart w:id="69" w:name="_Toc55577448"/>
      <w:r w:rsidRPr="0033443B">
        <w:t>Emise z dopravy</w:t>
      </w:r>
      <w:bookmarkEnd w:id="68"/>
      <w:bookmarkEnd w:id="69"/>
    </w:p>
    <w:p w14:paraId="59D2EF77" w14:textId="77777777" w:rsidR="004D5624" w:rsidRPr="0033443B" w:rsidRDefault="004D5624" w:rsidP="00047B8B">
      <w:pPr>
        <w:pStyle w:val="Aqpodrka1"/>
        <w:numPr>
          <w:ilvl w:val="0"/>
          <w:numId w:val="0"/>
        </w:numPr>
      </w:pPr>
      <w:r w:rsidRPr="0033443B">
        <w:t>V průběhu realizace stavby může dojít k menšímu nárůstu emisí v dané lokalitě, jelikož dojde ke kumulaci vozidel a stavebních strojů. Po dokončení stavby se stav emisí opět sníží na původní hodnotu, jelikož se nepředpokládá setrvalý nárůst dopravy.</w:t>
      </w:r>
    </w:p>
    <w:p w14:paraId="0C399A6D" w14:textId="77777777" w:rsidR="00047B8B" w:rsidRPr="0033443B" w:rsidRDefault="004D5624" w:rsidP="00047B8B">
      <w:pPr>
        <w:pStyle w:val="Nadpis2"/>
        <w:numPr>
          <w:ilvl w:val="0"/>
          <w:numId w:val="41"/>
        </w:numPr>
      </w:pPr>
      <w:bookmarkStart w:id="70" w:name="_Toc55577227"/>
      <w:bookmarkStart w:id="71" w:name="_Toc55577449"/>
      <w:r w:rsidRPr="0033443B">
        <w:t>Vliv znečištěných vod na vodní toky a vodní zdroje</w:t>
      </w:r>
      <w:bookmarkEnd w:id="70"/>
      <w:bookmarkEnd w:id="71"/>
    </w:p>
    <w:p w14:paraId="18E5F42F" w14:textId="77777777" w:rsidR="00047B8B" w:rsidRPr="0033443B" w:rsidRDefault="00047B8B" w:rsidP="00047B8B">
      <w:pPr>
        <w:pStyle w:val="AqpText"/>
      </w:pPr>
      <w:r w:rsidRPr="0033443B">
        <w:t xml:space="preserve">Zhotovitel je povinen zabránit znečišťování podzemních vod stavební činností. Zejména musí zabránit úniku ropných látek ze stavební mechanizace v průběhu stavební činnosti, doplňování PHM. </w:t>
      </w:r>
    </w:p>
    <w:p w14:paraId="38EB34B6" w14:textId="77777777" w:rsidR="00775F84" w:rsidRPr="0033443B" w:rsidRDefault="00775F84" w:rsidP="00775F84">
      <w:pPr>
        <w:pStyle w:val="Nadpis2"/>
        <w:ind w:left="851" w:hanging="284"/>
      </w:pPr>
      <w:bookmarkStart w:id="72" w:name="_Toc55577228"/>
      <w:bookmarkStart w:id="73" w:name="_Toc55577450"/>
      <w:r w:rsidRPr="0033443B">
        <w:t>Ochrana zdraví a bezpečnosti při výstavbě i užívání stavby</w:t>
      </w:r>
      <w:bookmarkEnd w:id="72"/>
      <w:bookmarkEnd w:id="73"/>
    </w:p>
    <w:p w14:paraId="0E382DA5" w14:textId="77777777" w:rsidR="00775F84" w:rsidRPr="0033443B" w:rsidRDefault="00775F84" w:rsidP="00775F84">
      <w:pPr>
        <w:pStyle w:val="AqpText"/>
      </w:pPr>
      <w:r w:rsidRPr="0033443B">
        <w:t>Zadavatel stavby doručí příslušnému Okresnímu inspektorátu bezpečnosti práce oznámení ohledně zahájení stavebních prací, a to nejméně do 8 dnů před předáním stavby zhotoviteli.</w:t>
      </w:r>
    </w:p>
    <w:p w14:paraId="1C3BDD0C" w14:textId="77777777" w:rsidR="00775F84" w:rsidRPr="0033443B" w:rsidRDefault="00775F84" w:rsidP="00775F84">
      <w:pPr>
        <w:pStyle w:val="AqpText"/>
      </w:pPr>
      <w:r w:rsidRPr="0033443B">
        <w:t>Vzhledem k charakteru prací rozhodne koordinátor bezpečnosti práce, zda je nutné zpracovat plán zajištění BOZP na staveništi dle přílohy č.5 k prováděcí vyhlášce č.591/2006 Sb.</w:t>
      </w:r>
    </w:p>
    <w:p w14:paraId="3F9BE17D" w14:textId="77777777" w:rsidR="00775F84" w:rsidRPr="0033443B" w:rsidRDefault="00775F84" w:rsidP="00775F84">
      <w:pPr>
        <w:pStyle w:val="AqpText"/>
      </w:pPr>
      <w:r w:rsidRPr="0033443B">
        <w:t>Při zabezpečení ochrany staveniště je třeba dbát na Přílohu č. 2 k vyhlášce č. 398/2009 Sb., bod 4. Výkopy a staveniště.</w:t>
      </w:r>
    </w:p>
    <w:p w14:paraId="5A2640DD" w14:textId="77777777" w:rsidR="00775F84" w:rsidRPr="0033443B" w:rsidRDefault="00775F84" w:rsidP="00775F84">
      <w:pPr>
        <w:pStyle w:val="AqpText"/>
      </w:pPr>
      <w:r w:rsidRPr="0033443B">
        <w:t xml:space="preserve">Obecně platí, že na stavbě budou dodržovány veškeré platné bezpečnostní předpisy, vztahující se na charakter prací a činností na stavbě. Zvláště se týká provádění demolicí stávajících konstrukcí a při provádění stavebních prací v souběhu s veřejným provozem.   </w:t>
      </w:r>
    </w:p>
    <w:p w14:paraId="089350EE" w14:textId="77777777" w:rsidR="00775F84" w:rsidRPr="0033443B" w:rsidRDefault="00775F84" w:rsidP="00775F84">
      <w:pPr>
        <w:pStyle w:val="AqpText"/>
      </w:pPr>
      <w:r w:rsidRPr="0033443B">
        <w:t xml:space="preserve">U vjezdů na staveniště budou osazeny vodorovné příčné zábrany Z2a s dopravní značkou B1 – zákaz vjezdu všech vozidel s dodatkovou tabulkou E12 s nápisem „vozidlům stavby vjezd povolen“. Tyto značky budou umístěny na ocelovém stojanu na hranici obvodu staveniště.  </w:t>
      </w:r>
    </w:p>
    <w:p w14:paraId="56C627CF" w14:textId="77777777" w:rsidR="00775F84" w:rsidRPr="0035159B" w:rsidRDefault="00775F84" w:rsidP="00775F84">
      <w:pPr>
        <w:pStyle w:val="Nadpis2"/>
        <w:ind w:left="851"/>
      </w:pPr>
      <w:bookmarkStart w:id="74" w:name="_Toc51075088"/>
      <w:bookmarkStart w:id="75" w:name="_Toc55577229"/>
      <w:bookmarkStart w:id="76" w:name="_Toc55577451"/>
      <w:r w:rsidRPr="0035159B">
        <w:t>Nakládání s odpady</w:t>
      </w:r>
      <w:bookmarkEnd w:id="74"/>
      <w:bookmarkEnd w:id="75"/>
      <w:bookmarkEnd w:id="76"/>
    </w:p>
    <w:p w14:paraId="0AF20758" w14:textId="5DED1E35" w:rsidR="00E40E8A" w:rsidRPr="0035159B" w:rsidRDefault="00775F84" w:rsidP="00775F84">
      <w:pPr>
        <w:spacing w:before="120"/>
        <w:ind w:right="-2"/>
        <w:jc w:val="both"/>
      </w:pPr>
      <w:r w:rsidRPr="0035159B">
        <w:t>Z hlediska sbírky zákona o odpadech č. 185/2001 Sb. a vyhlášky č.93/2016 Sb. budou při výstavbě produkovány následující materiály, které bude možno zpětně použít, nebo jsou, jako odpad, určeny na odvoz na řízenou skládku:</w:t>
      </w:r>
    </w:p>
    <w:p w14:paraId="021077F7" w14:textId="77777777" w:rsidR="00775F84" w:rsidRPr="0035159B" w:rsidRDefault="00775F84" w:rsidP="00775F84">
      <w:pPr>
        <w:pStyle w:val="AqpText"/>
        <w:spacing w:after="120"/>
      </w:pPr>
      <w:r w:rsidRPr="0035159B">
        <w:t>Tabulka odpadů v době výstavby a způsoby nakládání s nimi:</w:t>
      </w:r>
    </w:p>
    <w:tbl>
      <w:tblPr>
        <w:tblW w:w="970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"/>
        <w:gridCol w:w="3827"/>
        <w:gridCol w:w="567"/>
        <w:gridCol w:w="992"/>
        <w:gridCol w:w="3352"/>
      </w:tblGrid>
      <w:tr w:rsidR="00775F84" w:rsidRPr="0035159B" w14:paraId="1DB9293E" w14:textId="77777777" w:rsidTr="00A92B25">
        <w:trPr>
          <w:tblHeader/>
          <w:jc w:val="center"/>
        </w:trPr>
        <w:tc>
          <w:tcPr>
            <w:tcW w:w="9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CD6ECA9" w14:textId="77777777" w:rsidR="00775F84" w:rsidRPr="0035159B" w:rsidRDefault="00775F84" w:rsidP="00A92B25">
            <w:pPr>
              <w:pStyle w:val="AqpTabulka"/>
            </w:pPr>
            <w:r w:rsidRPr="0035159B">
              <w:t>Číslo</w:t>
            </w:r>
          </w:p>
          <w:p w14:paraId="6C41F67F" w14:textId="77777777" w:rsidR="00775F84" w:rsidRPr="0035159B" w:rsidRDefault="00775F84" w:rsidP="00A92B25">
            <w:pPr>
              <w:pStyle w:val="AqpTabulka"/>
            </w:pPr>
            <w:r w:rsidRPr="0035159B">
              <w:t>odpadu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99A5495" w14:textId="77777777" w:rsidR="00775F84" w:rsidRPr="0035159B" w:rsidRDefault="00775F84" w:rsidP="00A92B25">
            <w:pPr>
              <w:pStyle w:val="AqpTabulka"/>
            </w:pPr>
            <w:r w:rsidRPr="0035159B">
              <w:t>Název odpadu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0ABA813" w14:textId="77777777" w:rsidR="00775F84" w:rsidRPr="0035159B" w:rsidRDefault="00775F84" w:rsidP="00A92B25">
            <w:pPr>
              <w:pStyle w:val="AqpTabulka"/>
              <w:jc w:val="center"/>
            </w:pPr>
            <w:r w:rsidRPr="0035159B">
              <w:t>Kat.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045BD9D7" w14:textId="77777777" w:rsidR="00775F84" w:rsidRPr="0035159B" w:rsidRDefault="00775F84" w:rsidP="00A92B25">
            <w:pPr>
              <w:pStyle w:val="AqpTabulka"/>
              <w:jc w:val="center"/>
            </w:pPr>
            <w:r w:rsidRPr="0035159B">
              <w:t xml:space="preserve">Množství </w:t>
            </w:r>
            <w:r w:rsidRPr="0035159B">
              <w:rPr>
                <w:lang w:val="en-US"/>
              </w:rPr>
              <w:t>[t]</w:t>
            </w:r>
          </w:p>
        </w:tc>
        <w:tc>
          <w:tcPr>
            <w:tcW w:w="335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C0C72D" w14:textId="77777777" w:rsidR="00775F84" w:rsidRPr="0035159B" w:rsidRDefault="00775F84" w:rsidP="00A92B25">
            <w:pPr>
              <w:pStyle w:val="AqpTabulka"/>
            </w:pPr>
            <w:r w:rsidRPr="0035159B">
              <w:t>Způsob nakládání s odpadem</w:t>
            </w:r>
          </w:p>
          <w:p w14:paraId="48A5DA6B" w14:textId="77777777" w:rsidR="00775F84" w:rsidRPr="0035159B" w:rsidRDefault="00775F84" w:rsidP="00A92B25">
            <w:pPr>
              <w:pStyle w:val="AqpTabulka"/>
            </w:pPr>
            <w:r w:rsidRPr="0035159B">
              <w:t>/ (možné místo uložení)</w:t>
            </w:r>
          </w:p>
        </w:tc>
      </w:tr>
      <w:tr w:rsidR="00775F84" w:rsidRPr="0035159B" w14:paraId="7A7D9856" w14:textId="77777777" w:rsidTr="00A92B25">
        <w:trPr>
          <w:cantSplit/>
          <w:jc w:val="center"/>
        </w:trPr>
        <w:tc>
          <w:tcPr>
            <w:tcW w:w="9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6FF85A" w14:textId="77777777" w:rsidR="00775F84" w:rsidRPr="0035159B" w:rsidRDefault="00775F84" w:rsidP="00A92B25">
            <w:pPr>
              <w:pStyle w:val="AqpTabulka"/>
            </w:pPr>
            <w:r w:rsidRPr="0035159B">
              <w:t>17 01 01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783D0" w14:textId="77777777" w:rsidR="00775F84" w:rsidRPr="0035159B" w:rsidRDefault="00775F84" w:rsidP="00A92B25">
            <w:pPr>
              <w:pStyle w:val="AqpTabulka"/>
            </w:pPr>
            <w:r w:rsidRPr="0035159B">
              <w:t>Beton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A8AAB7" w14:textId="77777777" w:rsidR="00775F84" w:rsidRPr="0035159B" w:rsidRDefault="00775F84" w:rsidP="00A92B25">
            <w:pPr>
              <w:pStyle w:val="AqpTabulka"/>
              <w:jc w:val="center"/>
            </w:pPr>
            <w:r w:rsidRPr="0035159B">
              <w:t>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A9F463" w14:textId="37632856" w:rsidR="00775F84" w:rsidRPr="0035159B" w:rsidRDefault="0035159B" w:rsidP="00A92B25">
            <w:pPr>
              <w:pStyle w:val="AqpTabulka"/>
              <w:jc w:val="center"/>
            </w:pPr>
            <w:r w:rsidRPr="0035159B">
              <w:t>35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41165DD" w14:textId="77777777" w:rsidR="00775F84" w:rsidRPr="0035159B" w:rsidRDefault="00775F84" w:rsidP="00A92B25">
            <w:pPr>
              <w:pStyle w:val="AqpTabulka"/>
            </w:pPr>
            <w:r w:rsidRPr="0035159B">
              <w:t>Uložení na skládku / (Překladiště odpadů Drnolec;17 km)</w:t>
            </w:r>
          </w:p>
        </w:tc>
      </w:tr>
      <w:tr w:rsidR="00775F84" w:rsidRPr="0035159B" w14:paraId="40852412" w14:textId="77777777" w:rsidTr="00A92B25">
        <w:trPr>
          <w:jc w:val="center"/>
        </w:trPr>
        <w:tc>
          <w:tcPr>
            <w:tcW w:w="9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A1F44" w14:textId="77777777" w:rsidR="00775F84" w:rsidRPr="0035159B" w:rsidRDefault="00775F84" w:rsidP="00A92B25">
            <w:pPr>
              <w:pStyle w:val="AqpTabulka"/>
            </w:pPr>
            <w:r w:rsidRPr="0035159B">
              <w:t>17 02 03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E4FA5" w14:textId="77777777" w:rsidR="00775F84" w:rsidRPr="0035159B" w:rsidRDefault="00775F84" w:rsidP="00A92B25">
            <w:pPr>
              <w:pStyle w:val="AqpTabulka"/>
            </w:pPr>
            <w:r w:rsidRPr="0035159B">
              <w:t>Plasty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21B8B" w14:textId="77777777" w:rsidR="00775F84" w:rsidRPr="0035159B" w:rsidRDefault="00775F84" w:rsidP="00A92B25">
            <w:pPr>
              <w:pStyle w:val="AqpTabulka"/>
              <w:jc w:val="center"/>
            </w:pPr>
            <w:r w:rsidRPr="0035159B">
              <w:t>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7A2F2" w14:textId="30E1F673" w:rsidR="00775F84" w:rsidRPr="0035159B" w:rsidRDefault="0035159B" w:rsidP="00A92B25">
            <w:pPr>
              <w:pStyle w:val="AqpTabulka"/>
              <w:jc w:val="center"/>
            </w:pPr>
            <w:r w:rsidRPr="0035159B">
              <w:t>0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3C1882" w14:textId="2A645E90" w:rsidR="00775F84" w:rsidRPr="0035159B" w:rsidRDefault="00775F84" w:rsidP="001A763F">
            <w:pPr>
              <w:pStyle w:val="AqpTabulka"/>
            </w:pPr>
            <w:r w:rsidRPr="0035159B">
              <w:t>Do sběrných surovin /</w:t>
            </w:r>
            <w:r w:rsidR="001A763F" w:rsidRPr="0035159B">
              <w:t xml:space="preserve"> </w:t>
            </w:r>
            <w:r w:rsidRPr="0035159B">
              <w:t>(3 km)</w:t>
            </w:r>
          </w:p>
        </w:tc>
      </w:tr>
      <w:tr w:rsidR="00775F84" w:rsidRPr="0035159B" w14:paraId="6F585E80" w14:textId="77777777" w:rsidTr="00A92B25">
        <w:trPr>
          <w:jc w:val="center"/>
        </w:trPr>
        <w:tc>
          <w:tcPr>
            <w:tcW w:w="9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58F4B" w14:textId="77777777" w:rsidR="00775F84" w:rsidRPr="0035159B" w:rsidRDefault="00775F84" w:rsidP="00A92B25">
            <w:pPr>
              <w:pStyle w:val="AqpTabulka"/>
            </w:pPr>
            <w:r w:rsidRPr="0035159B">
              <w:t>17 03 02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71866" w14:textId="77777777" w:rsidR="00775F84" w:rsidRPr="0035159B" w:rsidRDefault="00775F84" w:rsidP="00A92B25">
            <w:pPr>
              <w:pStyle w:val="AqpTabulka"/>
            </w:pPr>
            <w:r w:rsidRPr="0035159B">
              <w:t>Asfaltové směsi neuvedené pod číslem</w:t>
            </w:r>
          </w:p>
          <w:p w14:paraId="6D0FC6F6" w14:textId="77777777" w:rsidR="00775F84" w:rsidRPr="0035159B" w:rsidRDefault="00775F84" w:rsidP="00A92B25">
            <w:pPr>
              <w:pStyle w:val="AqpTabulka"/>
            </w:pPr>
            <w:r w:rsidRPr="0035159B">
              <w:t>17 03 01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0B744" w14:textId="77777777" w:rsidR="00775F84" w:rsidRPr="0035159B" w:rsidRDefault="00775F84" w:rsidP="00A92B25">
            <w:pPr>
              <w:pStyle w:val="AqpTabulka"/>
              <w:jc w:val="center"/>
            </w:pPr>
            <w:r w:rsidRPr="0035159B">
              <w:t>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E3180" w14:textId="77777777" w:rsidR="00775F84" w:rsidRPr="0035159B" w:rsidRDefault="0035159B" w:rsidP="00A92B25">
            <w:pPr>
              <w:pStyle w:val="AqpTabulka"/>
              <w:jc w:val="center"/>
            </w:pPr>
            <w:r w:rsidRPr="0035159B">
              <w:t>13</w:t>
            </w:r>
          </w:p>
          <w:p w14:paraId="609374C2" w14:textId="756DCA8C" w:rsidR="0035159B" w:rsidRPr="0035159B" w:rsidRDefault="0035159B" w:rsidP="0035159B">
            <w:pPr>
              <w:pStyle w:val="AqpTabulka"/>
            </w:pP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3F31424" w14:textId="77777777" w:rsidR="00775F84" w:rsidRPr="0035159B" w:rsidRDefault="00775F84" w:rsidP="00A92B25">
            <w:pPr>
              <w:pStyle w:val="AqpTabulka"/>
            </w:pPr>
            <w:r w:rsidRPr="0035159B">
              <w:t>Uložení na skládku / (Recyklační dvůr Hrušovany n. Jev.; 24 km)</w:t>
            </w:r>
          </w:p>
        </w:tc>
      </w:tr>
      <w:tr w:rsidR="00775F84" w:rsidRPr="0035159B" w14:paraId="6557270E" w14:textId="77777777" w:rsidTr="00A92B25">
        <w:trPr>
          <w:jc w:val="center"/>
        </w:trPr>
        <w:tc>
          <w:tcPr>
            <w:tcW w:w="97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E41E6" w14:textId="77777777" w:rsidR="00775F84" w:rsidRPr="0035159B" w:rsidRDefault="00775F84" w:rsidP="00A92B25">
            <w:pPr>
              <w:pStyle w:val="AqpTabulka"/>
            </w:pPr>
            <w:r w:rsidRPr="0035159B">
              <w:t>17 04 07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2CF87" w14:textId="77777777" w:rsidR="00775F84" w:rsidRPr="0035159B" w:rsidRDefault="00775F84" w:rsidP="00A92B25">
            <w:pPr>
              <w:pStyle w:val="AqpTabulka"/>
            </w:pPr>
            <w:r w:rsidRPr="0035159B">
              <w:t>Směsné kovy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01FA5" w14:textId="77777777" w:rsidR="00775F84" w:rsidRPr="0035159B" w:rsidRDefault="00775F84" w:rsidP="00A92B25">
            <w:pPr>
              <w:pStyle w:val="AqpTabulka"/>
              <w:jc w:val="center"/>
              <w:rPr>
                <w:color w:val="000000"/>
              </w:rPr>
            </w:pPr>
            <w:r w:rsidRPr="0035159B">
              <w:t>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5BE37" w14:textId="21F1183E" w:rsidR="00775F84" w:rsidRPr="0035159B" w:rsidRDefault="0035159B" w:rsidP="00A92B25">
            <w:pPr>
              <w:pStyle w:val="AqpTabulka"/>
              <w:jc w:val="center"/>
            </w:pPr>
            <w:r w:rsidRPr="0035159B">
              <w:t>0,1</w:t>
            </w:r>
          </w:p>
          <w:p w14:paraId="69CAE038" w14:textId="72DFB092" w:rsidR="001A763F" w:rsidRPr="0035159B" w:rsidRDefault="001A763F" w:rsidP="00A92B25">
            <w:pPr>
              <w:pStyle w:val="AqpTabulka"/>
              <w:jc w:val="center"/>
              <w:rPr>
                <w:color w:val="000000"/>
              </w:rPr>
            </w:pP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08B809" w14:textId="77777777" w:rsidR="00775F84" w:rsidRPr="0035159B" w:rsidRDefault="00775F84" w:rsidP="00A92B25">
            <w:pPr>
              <w:pStyle w:val="AqpTabulka"/>
            </w:pPr>
            <w:r w:rsidRPr="0035159B">
              <w:t>Do sběrných surovin /</w:t>
            </w:r>
          </w:p>
          <w:p w14:paraId="1488F622" w14:textId="77777777" w:rsidR="00775F84" w:rsidRPr="0035159B" w:rsidRDefault="00775F84" w:rsidP="00A92B25">
            <w:pPr>
              <w:pStyle w:val="AqpTabulka"/>
            </w:pPr>
            <w:r w:rsidRPr="0035159B">
              <w:t>(Mikulov; 3 km)</w:t>
            </w:r>
          </w:p>
        </w:tc>
      </w:tr>
      <w:tr w:rsidR="00775F84" w:rsidRPr="0035159B" w14:paraId="4476984F" w14:textId="77777777" w:rsidTr="00A92B25">
        <w:trPr>
          <w:jc w:val="center"/>
        </w:trPr>
        <w:tc>
          <w:tcPr>
            <w:tcW w:w="97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B822079" w14:textId="77777777" w:rsidR="00775F84" w:rsidRPr="0035159B" w:rsidRDefault="00775F84" w:rsidP="00A92B25">
            <w:pPr>
              <w:pStyle w:val="AqpTabulka"/>
            </w:pPr>
            <w:r w:rsidRPr="0035159B">
              <w:t>17 05 04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A249A60" w14:textId="77777777" w:rsidR="00775F84" w:rsidRPr="0035159B" w:rsidRDefault="00775F84" w:rsidP="00A92B25">
            <w:pPr>
              <w:pStyle w:val="AqpTabulka"/>
            </w:pPr>
            <w:r w:rsidRPr="0035159B">
              <w:t>Zemina a kamení neuvedené pod číslem 17 05 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943153D" w14:textId="77777777" w:rsidR="00775F84" w:rsidRPr="0035159B" w:rsidRDefault="00775F84" w:rsidP="00A92B25">
            <w:pPr>
              <w:pStyle w:val="AqpTabulka"/>
              <w:jc w:val="center"/>
            </w:pPr>
            <w:r w:rsidRPr="0035159B">
              <w:t>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D92A01F" w14:textId="5EA5830F" w:rsidR="00775F84" w:rsidRPr="0035159B" w:rsidRDefault="0035159B" w:rsidP="00A92B25">
            <w:pPr>
              <w:pStyle w:val="AqpTabulka"/>
              <w:jc w:val="center"/>
            </w:pPr>
            <w:r w:rsidRPr="0035159B">
              <w:t>250</w:t>
            </w:r>
          </w:p>
        </w:tc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15B2BB" w14:textId="77777777" w:rsidR="00775F84" w:rsidRPr="0035159B" w:rsidRDefault="00775F84" w:rsidP="00A92B25">
            <w:pPr>
              <w:pStyle w:val="AqpTabulka"/>
            </w:pPr>
            <w:r w:rsidRPr="0035159B">
              <w:t>Uložení na skládku / (Překladiště odpadů Drnolec;17 km)</w:t>
            </w:r>
          </w:p>
        </w:tc>
      </w:tr>
    </w:tbl>
    <w:p w14:paraId="14BDE997" w14:textId="77777777" w:rsidR="00775F84" w:rsidRPr="0035159B" w:rsidRDefault="00775F84" w:rsidP="00775F84">
      <w:pPr>
        <w:ind w:right="-2"/>
        <w:jc w:val="both"/>
      </w:pPr>
    </w:p>
    <w:p w14:paraId="54B705FE" w14:textId="77777777" w:rsidR="00775F84" w:rsidRPr="0035159B" w:rsidRDefault="00775F84" w:rsidP="00775F84">
      <w:pPr>
        <w:ind w:right="-2"/>
        <w:jc w:val="both"/>
      </w:pPr>
      <w:r w:rsidRPr="0035159B">
        <w:t>Seznam provozovaných zařízení viz Registr zařízení:</w:t>
      </w:r>
    </w:p>
    <w:p w14:paraId="0C6DCDB3" w14:textId="77777777" w:rsidR="00775F84" w:rsidRPr="0035159B" w:rsidRDefault="00107300" w:rsidP="00775F84">
      <w:pPr>
        <w:ind w:right="-2"/>
        <w:jc w:val="both"/>
      </w:pPr>
      <w:hyperlink r:id="rId10" w:history="1">
        <w:r w:rsidR="00775F84" w:rsidRPr="0035159B">
          <w:rPr>
            <w:rStyle w:val="Hypertextovodkaz"/>
            <w:rFonts w:cs="Arial"/>
          </w:rPr>
          <w:t>https://isoh.mzp.cz/RegistrZarizeni/Main/Mapa</w:t>
        </w:r>
      </w:hyperlink>
    </w:p>
    <w:p w14:paraId="6B78F922" w14:textId="77777777" w:rsidR="00775F84" w:rsidRPr="0035159B" w:rsidRDefault="00775F84" w:rsidP="00775F84">
      <w:pPr>
        <w:pStyle w:val="AqpText"/>
      </w:pPr>
      <w:r w:rsidRPr="0035159B">
        <w:lastRenderedPageBreak/>
        <w:t>Z vlastního provozu komunikace se nepředpokládá vznik odpadů.</w:t>
      </w:r>
    </w:p>
    <w:p w14:paraId="240E2852" w14:textId="77777777" w:rsidR="00F774E8" w:rsidRPr="0089235F" w:rsidRDefault="00F774E8" w:rsidP="00F774E8">
      <w:pPr>
        <w:pStyle w:val="Nadpis1"/>
      </w:pPr>
      <w:bookmarkStart w:id="77" w:name="_Toc55577452"/>
      <w:r w:rsidRPr="0089235F">
        <w:t>OBECNÉ POŽADAVKY NA BEZPEČNOST A UŽITNÉ VLASTNOSTI</w:t>
      </w:r>
      <w:bookmarkEnd w:id="77"/>
    </w:p>
    <w:p w14:paraId="7AD617D9" w14:textId="77777777" w:rsidR="001A763F" w:rsidRPr="0089235F" w:rsidRDefault="001A763F" w:rsidP="001A763F">
      <w:pPr>
        <w:pStyle w:val="Nadpis2"/>
        <w:numPr>
          <w:ilvl w:val="0"/>
          <w:numId w:val="14"/>
        </w:numPr>
      </w:pPr>
      <w:bookmarkStart w:id="78" w:name="_Toc55577453"/>
      <w:r w:rsidRPr="0089235F">
        <w:t>Požární bezpečnost</w:t>
      </w:r>
      <w:bookmarkEnd w:id="78"/>
    </w:p>
    <w:p w14:paraId="025DEC54" w14:textId="0433F6F0" w:rsidR="001A763F" w:rsidRPr="0089235F" w:rsidRDefault="001A763F" w:rsidP="001A763F">
      <w:pPr>
        <w:pStyle w:val="AqpText"/>
      </w:pPr>
      <w:r w:rsidRPr="0089235F">
        <w:t xml:space="preserve">Předmětnou stavbou nebude narušen stávající </w:t>
      </w:r>
      <w:proofErr w:type="gramStart"/>
      <w:r w:rsidRPr="0089235F">
        <w:t>koridor</w:t>
      </w:r>
      <w:proofErr w:type="gramEnd"/>
      <w:r w:rsidRPr="0089235F">
        <w:t xml:space="preserve"> resp. komunikace používaná pro pohyb složek IZS v zájmové lokalitě.</w:t>
      </w:r>
      <w:r w:rsidR="00EC5BF1" w:rsidRPr="0089235F">
        <w:t xml:space="preserve"> Stávající nástupní plochy pro požární účely a přístupové komunikace k objektům nebudou řešenou dopravní stavbou negativně ovlivněny, resp. zůstane zachována jejich přístupnost pro požární techniku.</w:t>
      </w:r>
    </w:p>
    <w:p w14:paraId="683FF5CE" w14:textId="1A1C39FA" w:rsidR="001A763F" w:rsidRPr="0089235F" w:rsidRDefault="001A763F" w:rsidP="001A763F">
      <w:pPr>
        <w:pStyle w:val="AqpText"/>
      </w:pPr>
      <w:r w:rsidRPr="0089235F">
        <w:t>Rekonstrukce komunikace je navržena ve stávající trase</w:t>
      </w:r>
      <w:r w:rsidR="0035159B" w:rsidRPr="0089235F">
        <w:t xml:space="preserve"> a šířkovém uspořádání</w:t>
      </w:r>
      <w:r w:rsidRPr="0089235F">
        <w:t xml:space="preserve">. </w:t>
      </w:r>
      <w:r w:rsidR="0035159B" w:rsidRPr="0089235F">
        <w:t>Řešená</w:t>
      </w:r>
      <w:r w:rsidRPr="0089235F">
        <w:t xml:space="preserve"> komunikace je průjezdná (nejedná se o slepou komunikaci) a splňuje požadavky pro pojezd a průjezd požárními vozidly.</w:t>
      </w:r>
    </w:p>
    <w:p w14:paraId="78C5CEE1" w14:textId="22F276DB" w:rsidR="001A763F" w:rsidRPr="0089235F" w:rsidRDefault="0035159B" w:rsidP="001A763F">
      <w:pPr>
        <w:pStyle w:val="AqpText"/>
      </w:pPr>
      <w:r w:rsidRPr="0089235F">
        <w:t>S</w:t>
      </w:r>
      <w:r w:rsidR="001A763F" w:rsidRPr="0089235F">
        <w:t>taveniště</w:t>
      </w:r>
      <w:r w:rsidRPr="0089235F">
        <w:t>, resp. uzavírka komunikace bude měřit necelých 50 m, příjezd vozidel IZS do zájmové lokality bude možný z obou stran</w:t>
      </w:r>
      <w:r w:rsidR="001A763F" w:rsidRPr="0089235F">
        <w:t>. Z hlediska požární ochrany se jedná o stavbu, která nezvyšuje požární nebezpečí dotčeného území, pro zásah požárních vozidel nebude stavba překážkou a stávající koncepce požární bezpečnosti nebude narušena. Komunikaci lze využít jako nástupní plochu pro požární účely.</w:t>
      </w:r>
    </w:p>
    <w:p w14:paraId="579E85EC" w14:textId="52A9B64E" w:rsidR="001A763F" w:rsidRPr="0089235F" w:rsidRDefault="001A763F" w:rsidP="001A763F">
      <w:pPr>
        <w:pStyle w:val="AqpText"/>
      </w:pPr>
      <w:r w:rsidRPr="0089235F">
        <w:t xml:space="preserve">Během rekonstrukce komunikace nebude poškozen ani posunout stávající vodovodní řad. Stávající odběrná místa požární vody (hydranty) v prostoru a okolí stavby, zůstanou zachována v původních pozicích. Vlivem drobných úprav nivelety a příčných sklonů dojde v trase komunikace k výškovým úpravám v řádu </w:t>
      </w:r>
      <w:r w:rsidR="0035159B" w:rsidRPr="0089235F">
        <w:t>nižších jednotek</w:t>
      </w:r>
      <w:r w:rsidRPr="0089235F">
        <w:t xml:space="preserve"> centimetrů, z tohoto důvodu budou veškeré poklopy a armatury v prostoru komunikace výškově upraveny do úrovně nové vozovky.</w:t>
      </w:r>
    </w:p>
    <w:p w14:paraId="7784960F" w14:textId="77777777" w:rsidR="001A763F" w:rsidRPr="0089235F" w:rsidRDefault="001A763F" w:rsidP="001A763F">
      <w:pPr>
        <w:pStyle w:val="AqpText"/>
      </w:pPr>
      <w:r w:rsidRPr="0089235F">
        <w:t xml:space="preserve">Vzhledem k tomu, že se jedná o silniční stavbu a vzhledem k použitým stavebním materiálům (zemina, kamenivo, beton, ocel…) nevyžaduje stavba sama o sobě z hlediska </w:t>
      </w:r>
      <w:r w:rsidRPr="0089235F">
        <w:rPr>
          <w:b/>
          <w:bCs/>
        </w:rPr>
        <w:t>požární ochrany</w:t>
      </w:r>
      <w:r w:rsidRPr="0089235F">
        <w:t xml:space="preserve"> žádná zvláštní požárně bezpečnostní opatření dle vyhlášky Ministerstva vnitra o stanovení podmínek bezpečnosti a výkonu státního požárního dozoru č.246/2001 </w:t>
      </w:r>
      <w:proofErr w:type="spellStart"/>
      <w:r w:rsidRPr="0089235F">
        <w:t>Sb</w:t>
      </w:r>
      <w:proofErr w:type="spellEnd"/>
      <w:r w:rsidRPr="0089235F">
        <w:t>, § 41.</w:t>
      </w:r>
    </w:p>
    <w:p w14:paraId="347DA9CC" w14:textId="77777777" w:rsidR="001A763F" w:rsidRPr="0089235F" w:rsidRDefault="001A763F" w:rsidP="001A763F">
      <w:pPr>
        <w:pStyle w:val="Nadpis2"/>
      </w:pPr>
      <w:bookmarkStart w:id="79" w:name="_Toc55577454"/>
      <w:r w:rsidRPr="0089235F">
        <w:t>Bezpečnost při užívání</w:t>
      </w:r>
      <w:bookmarkEnd w:id="79"/>
    </w:p>
    <w:p w14:paraId="7D4DE2B5" w14:textId="77777777" w:rsidR="001A763F" w:rsidRPr="0089235F" w:rsidRDefault="001A763F" w:rsidP="001A763F">
      <w:pPr>
        <w:pStyle w:val="AqpText"/>
      </w:pPr>
      <w:bookmarkStart w:id="80" w:name="_Hlk532477968"/>
      <w:r w:rsidRPr="0089235F">
        <w:t>Provoz na předmětné místní komunikaci se bude řídit zákonem o provozu na pozemních komunikacích č. 361/2000 Sb. ve znění pozdějších předpisů</w:t>
      </w:r>
      <w:bookmarkEnd w:id="80"/>
      <w:r w:rsidRPr="0089235F">
        <w:t xml:space="preserve">. </w:t>
      </w:r>
    </w:p>
    <w:p w14:paraId="2FFF35E9" w14:textId="77777777" w:rsidR="001A763F" w:rsidRPr="0089235F" w:rsidRDefault="001A763F" w:rsidP="001A763F">
      <w:pPr>
        <w:pStyle w:val="Nadpis1"/>
      </w:pPr>
      <w:bookmarkStart w:id="81" w:name="_Toc51075090"/>
      <w:bookmarkStart w:id="82" w:name="_Toc55577455"/>
      <w:r w:rsidRPr="0089235F">
        <w:t>DALŠÍ POŽADAVKY</w:t>
      </w:r>
      <w:bookmarkEnd w:id="81"/>
      <w:bookmarkEnd w:id="82"/>
    </w:p>
    <w:p w14:paraId="6CC404BB" w14:textId="77777777" w:rsidR="001A763F" w:rsidRPr="0089235F" w:rsidRDefault="001A763F" w:rsidP="001A763F">
      <w:pPr>
        <w:pStyle w:val="AqpText"/>
      </w:pPr>
      <w:r w:rsidRPr="0089235F">
        <w:t>Nejsou.</w:t>
      </w:r>
      <w:bookmarkEnd w:id="6"/>
    </w:p>
    <w:sectPr w:rsidR="001A763F" w:rsidRPr="0089235F" w:rsidSect="000D566F">
      <w:headerReference w:type="default" r:id="rId11"/>
      <w:footerReference w:type="default" r:id="rId12"/>
      <w:pgSz w:w="11906" w:h="16838" w:code="9"/>
      <w:pgMar w:top="1701" w:right="851" w:bottom="1418" w:left="851" w:header="709" w:footer="381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6B298" w14:textId="77777777" w:rsidR="009A0094" w:rsidRDefault="009A0094">
      <w:r>
        <w:separator/>
      </w:r>
    </w:p>
    <w:p w14:paraId="517E5074" w14:textId="77777777" w:rsidR="009A0094" w:rsidRDefault="009A0094"/>
  </w:endnote>
  <w:endnote w:type="continuationSeparator" w:id="0">
    <w:p w14:paraId="5E6656C7" w14:textId="77777777" w:rsidR="009A0094" w:rsidRDefault="009A0094">
      <w:r>
        <w:continuationSeparator/>
      </w:r>
    </w:p>
    <w:p w14:paraId="171BF992" w14:textId="77777777" w:rsidR="009A0094" w:rsidRDefault="009A00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7FA7" w14:textId="77777777" w:rsidR="00E40E8A" w:rsidRDefault="00E40E8A" w:rsidP="000D566F">
    <w:pPr>
      <w:pStyle w:val="Zpat"/>
      <w:tabs>
        <w:tab w:val="clear" w:pos="8505"/>
        <w:tab w:val="right" w:pos="9639"/>
      </w:tabs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9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75FDFD23" w14:textId="77777777" w:rsidR="00E40E8A" w:rsidRDefault="00E40E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1DFD4" w14:textId="77777777" w:rsidR="009A0094" w:rsidRDefault="009A0094">
      <w:r>
        <w:separator/>
      </w:r>
    </w:p>
    <w:p w14:paraId="1EF4C689" w14:textId="77777777" w:rsidR="009A0094" w:rsidRDefault="009A0094"/>
  </w:footnote>
  <w:footnote w:type="continuationSeparator" w:id="0">
    <w:p w14:paraId="26280674" w14:textId="77777777" w:rsidR="009A0094" w:rsidRDefault="009A0094">
      <w:r>
        <w:continuationSeparator/>
      </w:r>
    </w:p>
    <w:p w14:paraId="688C5659" w14:textId="77777777" w:rsidR="009A0094" w:rsidRDefault="009A00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5" w:type="dxa"/>
      <w:tblInd w:w="2" w:type="dxa"/>
      <w:tblLook w:val="01E0" w:firstRow="1" w:lastRow="1" w:firstColumn="1" w:lastColumn="1" w:noHBand="0" w:noVBand="0"/>
    </w:tblPr>
    <w:tblGrid>
      <w:gridCol w:w="7086"/>
      <w:gridCol w:w="2549"/>
    </w:tblGrid>
    <w:tr w:rsidR="00E40E8A" w14:paraId="75B4F6CA" w14:textId="77777777" w:rsidTr="00D91753">
      <w:tc>
        <w:tcPr>
          <w:tcW w:w="7086" w:type="dxa"/>
          <w:tcBorders>
            <w:bottom w:val="single" w:sz="4" w:space="0" w:color="C00000"/>
          </w:tcBorders>
          <w:tcMar>
            <w:top w:w="28" w:type="dxa"/>
            <w:bottom w:w="28" w:type="dxa"/>
          </w:tcMar>
          <w:vAlign w:val="center"/>
        </w:tcPr>
        <w:p w14:paraId="0594EAD3" w14:textId="77777777" w:rsidR="00E40E8A" w:rsidRPr="0074581F" w:rsidRDefault="00E40E8A" w:rsidP="00AF5FC1">
          <w:pPr>
            <w:pStyle w:val="Zhlav"/>
            <w:spacing w:before="240"/>
            <w:ind w:left="-108"/>
            <w:rPr>
              <w:sz w:val="17"/>
              <w:szCs w:val="17"/>
            </w:rPr>
          </w:pPr>
          <w:r w:rsidRPr="000349F6">
            <w:t xml:space="preserve">MIKULOV, UL. </w:t>
          </w:r>
          <w:r>
            <w:t xml:space="preserve">MLÝNSKÁ A </w:t>
          </w:r>
          <w:proofErr w:type="gramStart"/>
          <w:r>
            <w:t>POŠTOVNÍ</w:t>
          </w:r>
          <w:r w:rsidRPr="000349F6">
            <w:t xml:space="preserve"> - OPRAVA</w:t>
          </w:r>
          <w:proofErr w:type="gramEnd"/>
          <w:r w:rsidRPr="000349F6">
            <w:t xml:space="preserve"> KOMUNIKACE</w:t>
          </w:r>
        </w:p>
      </w:tc>
      <w:tc>
        <w:tcPr>
          <w:tcW w:w="2549" w:type="dxa"/>
          <w:tcBorders>
            <w:bottom w:val="single" w:sz="4" w:space="0" w:color="C00000"/>
          </w:tcBorders>
          <w:tcMar>
            <w:top w:w="28" w:type="dxa"/>
            <w:left w:w="57" w:type="dxa"/>
            <w:bottom w:w="28" w:type="dxa"/>
            <w:right w:w="57" w:type="dxa"/>
          </w:tcMar>
        </w:tcPr>
        <w:p w14:paraId="3D014B5D" w14:textId="5C3D6056" w:rsidR="00E40E8A" w:rsidRDefault="00E40E8A" w:rsidP="00BC142F">
          <w:pPr>
            <w:pStyle w:val="Zhlav"/>
            <w:spacing w:before="240"/>
            <w:jc w:val="right"/>
          </w:pPr>
          <w:r w:rsidRPr="00BA31C8">
            <w:fldChar w:fldCharType="begin"/>
          </w:r>
          <w:r w:rsidRPr="00BA31C8">
            <w:instrText xml:space="preserve"> REF Stupen \h  \* MERGEFORMAT </w:instrText>
          </w:r>
          <w:r w:rsidRPr="00BA31C8">
            <w:fldChar w:fldCharType="separate"/>
          </w:r>
          <w:r w:rsidR="00834DC0">
            <w:rPr>
              <w:noProof/>
            </w:rPr>
            <w:t>DSP+PDPS</w:t>
          </w:r>
          <w:r w:rsidRPr="00BA31C8">
            <w:fldChar w:fldCharType="end"/>
          </w:r>
        </w:p>
      </w:tc>
    </w:tr>
  </w:tbl>
  <w:p w14:paraId="3A6C9294" w14:textId="043455E5" w:rsidR="00E40E8A" w:rsidRDefault="00E40E8A" w:rsidP="00BC142F">
    <w:pPr>
      <w:pStyle w:val="Zhlav"/>
      <w:tabs>
        <w:tab w:val="clear" w:pos="8505"/>
        <w:tab w:val="right" w:pos="9582"/>
      </w:tabs>
      <w:spacing w:before="60"/>
      <w:rPr>
        <w:sz w:val="12"/>
      </w:rPr>
    </w:pPr>
    <w:r>
      <w:rPr>
        <w:sz w:val="12"/>
        <w:szCs w:val="12"/>
      </w:rPr>
      <w:t xml:space="preserve">Zakázkové číslo: </w:t>
    </w:r>
    <w:r w:rsidRPr="00A92B25">
      <w:rPr>
        <w:sz w:val="12"/>
        <w:szCs w:val="12"/>
      </w:rPr>
      <w:t>1543920-1</w:t>
    </w:r>
    <w:r>
      <w:rPr>
        <w:sz w:val="12"/>
        <w:szCs w:val="12"/>
      </w:rPr>
      <w:t>6</w:t>
    </w:r>
    <w:r w:rsidR="00634B19">
      <w:rPr>
        <w:sz w:val="12"/>
        <w:szCs w:val="12"/>
      </w:rPr>
      <w:t>-01</w:t>
    </w:r>
    <w:r>
      <w:tab/>
    </w:r>
    <w:r w:rsidR="00634B19">
      <w:rPr>
        <w:sz w:val="12"/>
      </w:rPr>
      <w:t>12</w:t>
    </w:r>
    <w:r>
      <w:rPr>
        <w:sz w:val="12"/>
      </w:rPr>
      <w:t>/202</w:t>
    </w:r>
    <w:r w:rsidR="00634B19">
      <w:rPr>
        <w:sz w:val="12"/>
      </w:rPr>
      <w:t>1</w:t>
    </w:r>
  </w:p>
  <w:p w14:paraId="6239B6D4" w14:textId="77777777" w:rsidR="00E40E8A" w:rsidRPr="00BC142F" w:rsidRDefault="00E40E8A" w:rsidP="00BC142F">
    <w:pPr>
      <w:pStyle w:val="Zhlav"/>
      <w:tabs>
        <w:tab w:val="clear" w:pos="8505"/>
        <w:tab w:val="right" w:pos="9582"/>
      </w:tabs>
      <w:spacing w:before="60"/>
      <w:rPr>
        <w:sz w:val="6"/>
        <w:szCs w:val="12"/>
      </w:rPr>
    </w:pPr>
  </w:p>
  <w:p w14:paraId="72400085" w14:textId="77777777" w:rsidR="00E40E8A" w:rsidRPr="00BC142F" w:rsidRDefault="00E40E8A" w:rsidP="000252A6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BD4CB1CA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AB151D3"/>
    <w:multiLevelType w:val="hybridMultilevel"/>
    <w:tmpl w:val="5088C57A"/>
    <w:lvl w:ilvl="0" w:tplc="67B02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E0CAD"/>
    <w:multiLevelType w:val="hybridMultilevel"/>
    <w:tmpl w:val="9DC646E4"/>
    <w:lvl w:ilvl="0" w:tplc="2FC28E0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3E4E17"/>
    <w:multiLevelType w:val="hybridMultilevel"/>
    <w:tmpl w:val="95A42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02DBA"/>
    <w:multiLevelType w:val="hybridMultilevel"/>
    <w:tmpl w:val="A90E2EB0"/>
    <w:lvl w:ilvl="0" w:tplc="2C6A5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21271"/>
    <w:multiLevelType w:val="hybridMultilevel"/>
    <w:tmpl w:val="DED2D774"/>
    <w:lvl w:ilvl="0" w:tplc="00AC455A">
      <w:numFmt w:val="bullet"/>
      <w:pStyle w:val="Aqpodrka1"/>
      <w:lvlText w:val="-"/>
      <w:lvlJc w:val="left"/>
      <w:pPr>
        <w:tabs>
          <w:tab w:val="num" w:pos="2223"/>
        </w:tabs>
        <w:ind w:left="2223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943"/>
        </w:tabs>
        <w:ind w:left="29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63"/>
        </w:tabs>
        <w:ind w:left="366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83"/>
        </w:tabs>
        <w:ind w:left="438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103"/>
        </w:tabs>
        <w:ind w:left="510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823"/>
        </w:tabs>
        <w:ind w:left="582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543"/>
        </w:tabs>
        <w:ind w:left="654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63"/>
        </w:tabs>
        <w:ind w:left="726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83"/>
        </w:tabs>
        <w:ind w:left="798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9E00C3E"/>
    <w:multiLevelType w:val="hybridMultilevel"/>
    <w:tmpl w:val="0A7A5094"/>
    <w:lvl w:ilvl="0" w:tplc="546871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3BE0BFD"/>
    <w:multiLevelType w:val="multilevel"/>
    <w:tmpl w:val="E1C03BE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6D9167B"/>
    <w:multiLevelType w:val="hybridMultilevel"/>
    <w:tmpl w:val="5CC69B58"/>
    <w:lvl w:ilvl="0" w:tplc="EE189B88">
      <w:start w:val="1"/>
      <w:numFmt w:val="lowerLetter"/>
      <w:lvlText w:val="%1)"/>
      <w:lvlJc w:val="left"/>
      <w:pPr>
        <w:ind w:left="1778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60CA0219"/>
    <w:multiLevelType w:val="hybridMultilevel"/>
    <w:tmpl w:val="326A7500"/>
    <w:lvl w:ilvl="0" w:tplc="EE444DB2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44B4A96"/>
    <w:multiLevelType w:val="hybridMultilevel"/>
    <w:tmpl w:val="79D8E2FC"/>
    <w:lvl w:ilvl="0" w:tplc="788E499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7AA79FB"/>
    <w:multiLevelType w:val="hybridMultilevel"/>
    <w:tmpl w:val="79DA1AEC"/>
    <w:lvl w:ilvl="0" w:tplc="6026159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7F00709E"/>
    <w:multiLevelType w:val="hybridMultilevel"/>
    <w:tmpl w:val="5E1E3BD2"/>
    <w:lvl w:ilvl="0" w:tplc="8820AB88">
      <w:start w:val="1"/>
      <w:numFmt w:val="lowerLetter"/>
      <w:pStyle w:val="Nadpis2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809329">
    <w:abstractNumId w:val="4"/>
  </w:num>
  <w:num w:numId="2" w16cid:durableId="798690132">
    <w:abstractNumId w:val="3"/>
  </w:num>
  <w:num w:numId="3" w16cid:durableId="1759986558">
    <w:abstractNumId w:val="2"/>
  </w:num>
  <w:num w:numId="4" w16cid:durableId="733241476">
    <w:abstractNumId w:val="1"/>
  </w:num>
  <w:num w:numId="5" w16cid:durableId="1311134050">
    <w:abstractNumId w:val="0"/>
  </w:num>
  <w:num w:numId="6" w16cid:durableId="671832939">
    <w:abstractNumId w:val="9"/>
  </w:num>
  <w:num w:numId="7" w16cid:durableId="1256597608">
    <w:abstractNumId w:val="11"/>
  </w:num>
  <w:num w:numId="8" w16cid:durableId="1958022021">
    <w:abstractNumId w:val="16"/>
  </w:num>
  <w:num w:numId="9" w16cid:durableId="1801000335">
    <w:abstractNumId w:val="16"/>
    <w:lvlOverride w:ilvl="0">
      <w:startOverride w:val="1"/>
    </w:lvlOverride>
  </w:num>
  <w:num w:numId="10" w16cid:durableId="1670061607">
    <w:abstractNumId w:val="16"/>
    <w:lvlOverride w:ilvl="0">
      <w:startOverride w:val="1"/>
    </w:lvlOverride>
  </w:num>
  <w:num w:numId="11" w16cid:durableId="2097288219">
    <w:abstractNumId w:val="16"/>
    <w:lvlOverride w:ilvl="0">
      <w:startOverride w:val="1"/>
    </w:lvlOverride>
  </w:num>
  <w:num w:numId="12" w16cid:durableId="425033486">
    <w:abstractNumId w:val="16"/>
    <w:lvlOverride w:ilvl="0">
      <w:startOverride w:val="1"/>
    </w:lvlOverride>
  </w:num>
  <w:num w:numId="13" w16cid:durableId="1044644911">
    <w:abstractNumId w:val="16"/>
    <w:lvlOverride w:ilvl="0">
      <w:startOverride w:val="1"/>
    </w:lvlOverride>
  </w:num>
  <w:num w:numId="14" w16cid:durableId="337274458">
    <w:abstractNumId w:val="16"/>
    <w:lvlOverride w:ilvl="0">
      <w:startOverride w:val="1"/>
    </w:lvlOverride>
  </w:num>
  <w:num w:numId="15" w16cid:durableId="518392426">
    <w:abstractNumId w:val="16"/>
    <w:lvlOverride w:ilvl="0">
      <w:startOverride w:val="1"/>
    </w:lvlOverride>
  </w:num>
  <w:num w:numId="16" w16cid:durableId="1735738830">
    <w:abstractNumId w:val="16"/>
    <w:lvlOverride w:ilvl="0">
      <w:startOverride w:val="1"/>
    </w:lvlOverride>
  </w:num>
  <w:num w:numId="17" w16cid:durableId="1052540066">
    <w:abstractNumId w:val="16"/>
    <w:lvlOverride w:ilvl="0">
      <w:startOverride w:val="1"/>
    </w:lvlOverride>
  </w:num>
  <w:num w:numId="18" w16cid:durableId="2137327995">
    <w:abstractNumId w:val="16"/>
    <w:lvlOverride w:ilvl="0">
      <w:startOverride w:val="1"/>
    </w:lvlOverride>
  </w:num>
  <w:num w:numId="19" w16cid:durableId="1659963448">
    <w:abstractNumId w:val="8"/>
  </w:num>
  <w:num w:numId="20" w16cid:durableId="1428430374">
    <w:abstractNumId w:val="5"/>
  </w:num>
  <w:num w:numId="21" w16cid:durableId="69081581">
    <w:abstractNumId w:val="16"/>
    <w:lvlOverride w:ilvl="0">
      <w:startOverride w:val="1"/>
    </w:lvlOverride>
  </w:num>
  <w:num w:numId="22" w16cid:durableId="678391803">
    <w:abstractNumId w:val="16"/>
  </w:num>
  <w:num w:numId="23" w16cid:durableId="735787917">
    <w:abstractNumId w:val="16"/>
    <w:lvlOverride w:ilvl="0">
      <w:startOverride w:val="1"/>
    </w:lvlOverride>
  </w:num>
  <w:num w:numId="24" w16cid:durableId="998386067">
    <w:abstractNumId w:val="16"/>
    <w:lvlOverride w:ilvl="0">
      <w:startOverride w:val="1"/>
    </w:lvlOverride>
  </w:num>
  <w:num w:numId="25" w16cid:durableId="105276929">
    <w:abstractNumId w:val="16"/>
    <w:lvlOverride w:ilvl="0">
      <w:startOverride w:val="1"/>
    </w:lvlOverride>
  </w:num>
  <w:num w:numId="26" w16cid:durableId="645009568">
    <w:abstractNumId w:val="16"/>
    <w:lvlOverride w:ilvl="0">
      <w:startOverride w:val="1"/>
    </w:lvlOverride>
  </w:num>
  <w:num w:numId="27" w16cid:durableId="1178740454">
    <w:abstractNumId w:val="16"/>
    <w:lvlOverride w:ilvl="0">
      <w:startOverride w:val="1"/>
    </w:lvlOverride>
  </w:num>
  <w:num w:numId="28" w16cid:durableId="2104715388">
    <w:abstractNumId w:val="16"/>
    <w:lvlOverride w:ilvl="0">
      <w:startOverride w:val="1"/>
    </w:lvlOverride>
  </w:num>
  <w:num w:numId="29" w16cid:durableId="1657294183">
    <w:abstractNumId w:val="16"/>
    <w:lvlOverride w:ilvl="0">
      <w:startOverride w:val="1"/>
    </w:lvlOverride>
  </w:num>
  <w:num w:numId="30" w16cid:durableId="1131093540">
    <w:abstractNumId w:val="16"/>
    <w:lvlOverride w:ilvl="0">
      <w:startOverride w:val="1"/>
    </w:lvlOverride>
  </w:num>
  <w:num w:numId="31" w16cid:durableId="234246130">
    <w:abstractNumId w:val="16"/>
    <w:lvlOverride w:ilvl="0">
      <w:startOverride w:val="1"/>
    </w:lvlOverride>
  </w:num>
  <w:num w:numId="32" w16cid:durableId="234901969">
    <w:abstractNumId w:val="16"/>
  </w:num>
  <w:num w:numId="33" w16cid:durableId="68230871">
    <w:abstractNumId w:val="13"/>
  </w:num>
  <w:num w:numId="34" w16cid:durableId="62290323">
    <w:abstractNumId w:val="14"/>
  </w:num>
  <w:num w:numId="35" w16cid:durableId="607392345">
    <w:abstractNumId w:val="7"/>
  </w:num>
  <w:num w:numId="36" w16cid:durableId="21029881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1069420">
    <w:abstractNumId w:val="11"/>
  </w:num>
  <w:num w:numId="38" w16cid:durableId="1617565251">
    <w:abstractNumId w:val="11"/>
  </w:num>
  <w:num w:numId="39" w16cid:durableId="349065366">
    <w:abstractNumId w:val="12"/>
  </w:num>
  <w:num w:numId="40" w16cid:durableId="644044654">
    <w:abstractNumId w:val="10"/>
  </w:num>
  <w:num w:numId="41" w16cid:durableId="1988822294">
    <w:abstractNumId w:val="6"/>
  </w:num>
  <w:num w:numId="42" w16cid:durableId="71657763">
    <w:abstractNumId w:val="16"/>
    <w:lvlOverride w:ilvl="0">
      <w:startOverride w:val="2"/>
    </w:lvlOverride>
  </w:num>
  <w:num w:numId="43" w16cid:durableId="2064521309">
    <w:abstractNumId w:val="15"/>
  </w:num>
  <w:num w:numId="44" w16cid:durableId="978456722">
    <w:abstractNumId w:val="16"/>
    <w:lvlOverride w:ilvl="0">
      <w:startOverride w:val="1"/>
    </w:lvlOverride>
  </w:num>
  <w:num w:numId="45" w16cid:durableId="2034304519">
    <w:abstractNumId w:val="16"/>
    <w:lvlOverride w:ilvl="0">
      <w:startOverride w:val="1"/>
    </w:lvlOverride>
  </w:num>
  <w:num w:numId="46" w16cid:durableId="1084767817">
    <w:abstractNumId w:val="16"/>
    <w:lvlOverride w:ilvl="0">
      <w:startOverride w:val="1"/>
    </w:lvlOverride>
  </w:num>
  <w:num w:numId="47" w16cid:durableId="1094207429">
    <w:abstractNumId w:val="6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1C82"/>
    <w:rsid w:val="000020FB"/>
    <w:rsid w:val="000039D3"/>
    <w:rsid w:val="000047D2"/>
    <w:rsid w:val="00005718"/>
    <w:rsid w:val="00005A74"/>
    <w:rsid w:val="00007849"/>
    <w:rsid w:val="000079A4"/>
    <w:rsid w:val="0001195A"/>
    <w:rsid w:val="0001242F"/>
    <w:rsid w:val="00014380"/>
    <w:rsid w:val="00015E17"/>
    <w:rsid w:val="00021A4A"/>
    <w:rsid w:val="000229B8"/>
    <w:rsid w:val="000249C3"/>
    <w:rsid w:val="000252A6"/>
    <w:rsid w:val="00026944"/>
    <w:rsid w:val="00030281"/>
    <w:rsid w:val="00031417"/>
    <w:rsid w:val="000349F6"/>
    <w:rsid w:val="00036455"/>
    <w:rsid w:val="000431C8"/>
    <w:rsid w:val="00047B8B"/>
    <w:rsid w:val="000528D1"/>
    <w:rsid w:val="000529BD"/>
    <w:rsid w:val="00054101"/>
    <w:rsid w:val="00061E7A"/>
    <w:rsid w:val="00064761"/>
    <w:rsid w:val="0006587E"/>
    <w:rsid w:val="00065B6B"/>
    <w:rsid w:val="00066AEC"/>
    <w:rsid w:val="00067044"/>
    <w:rsid w:val="000712AD"/>
    <w:rsid w:val="0007342D"/>
    <w:rsid w:val="000757BB"/>
    <w:rsid w:val="00076CFD"/>
    <w:rsid w:val="00077563"/>
    <w:rsid w:val="00077C09"/>
    <w:rsid w:val="00080147"/>
    <w:rsid w:val="00080CB2"/>
    <w:rsid w:val="00081666"/>
    <w:rsid w:val="0008208F"/>
    <w:rsid w:val="000835A5"/>
    <w:rsid w:val="00086B3C"/>
    <w:rsid w:val="00087E49"/>
    <w:rsid w:val="000914BF"/>
    <w:rsid w:val="0009372F"/>
    <w:rsid w:val="00094D03"/>
    <w:rsid w:val="0009747A"/>
    <w:rsid w:val="000A682D"/>
    <w:rsid w:val="000B16DD"/>
    <w:rsid w:val="000B2FC4"/>
    <w:rsid w:val="000B39C9"/>
    <w:rsid w:val="000B4E6A"/>
    <w:rsid w:val="000B5F4E"/>
    <w:rsid w:val="000C0476"/>
    <w:rsid w:val="000C4B02"/>
    <w:rsid w:val="000C7546"/>
    <w:rsid w:val="000C78F3"/>
    <w:rsid w:val="000C7AD3"/>
    <w:rsid w:val="000D08CA"/>
    <w:rsid w:val="000D1FFA"/>
    <w:rsid w:val="000D2562"/>
    <w:rsid w:val="000D566F"/>
    <w:rsid w:val="000E1C77"/>
    <w:rsid w:val="000E6434"/>
    <w:rsid w:val="000E6947"/>
    <w:rsid w:val="000F01A1"/>
    <w:rsid w:val="00100504"/>
    <w:rsid w:val="00100B93"/>
    <w:rsid w:val="001017FD"/>
    <w:rsid w:val="0010186B"/>
    <w:rsid w:val="0010416F"/>
    <w:rsid w:val="00105FB7"/>
    <w:rsid w:val="00107300"/>
    <w:rsid w:val="00107CEC"/>
    <w:rsid w:val="00111AA9"/>
    <w:rsid w:val="00112A43"/>
    <w:rsid w:val="00112AEE"/>
    <w:rsid w:val="00113E41"/>
    <w:rsid w:val="00114149"/>
    <w:rsid w:val="001154BB"/>
    <w:rsid w:val="00120B48"/>
    <w:rsid w:val="001256C2"/>
    <w:rsid w:val="00126A4F"/>
    <w:rsid w:val="0013306B"/>
    <w:rsid w:val="00135241"/>
    <w:rsid w:val="00143079"/>
    <w:rsid w:val="00147D93"/>
    <w:rsid w:val="00152368"/>
    <w:rsid w:val="001545D7"/>
    <w:rsid w:val="0015599C"/>
    <w:rsid w:val="00157477"/>
    <w:rsid w:val="00160D40"/>
    <w:rsid w:val="00162F04"/>
    <w:rsid w:val="001704F5"/>
    <w:rsid w:val="00172639"/>
    <w:rsid w:val="00180DF8"/>
    <w:rsid w:val="00184206"/>
    <w:rsid w:val="00186B39"/>
    <w:rsid w:val="0019363D"/>
    <w:rsid w:val="00195F4D"/>
    <w:rsid w:val="00196F91"/>
    <w:rsid w:val="00197FC2"/>
    <w:rsid w:val="001A1973"/>
    <w:rsid w:val="001A51CC"/>
    <w:rsid w:val="001A663C"/>
    <w:rsid w:val="001A6ECD"/>
    <w:rsid w:val="001A763F"/>
    <w:rsid w:val="001B0654"/>
    <w:rsid w:val="001B1DA4"/>
    <w:rsid w:val="001B3719"/>
    <w:rsid w:val="001B48ED"/>
    <w:rsid w:val="001B5C89"/>
    <w:rsid w:val="001C1737"/>
    <w:rsid w:val="001C37C7"/>
    <w:rsid w:val="001C54D5"/>
    <w:rsid w:val="001C5F6F"/>
    <w:rsid w:val="001C66CD"/>
    <w:rsid w:val="001D369C"/>
    <w:rsid w:val="001D44FC"/>
    <w:rsid w:val="001D6FDA"/>
    <w:rsid w:val="001E35FB"/>
    <w:rsid w:val="001E51FF"/>
    <w:rsid w:val="001E57D1"/>
    <w:rsid w:val="001E6571"/>
    <w:rsid w:val="001F19EA"/>
    <w:rsid w:val="001F1C3E"/>
    <w:rsid w:val="001F2D81"/>
    <w:rsid w:val="001F70E3"/>
    <w:rsid w:val="001F732D"/>
    <w:rsid w:val="001F7355"/>
    <w:rsid w:val="0021139B"/>
    <w:rsid w:val="002123F9"/>
    <w:rsid w:val="00214177"/>
    <w:rsid w:val="00216B13"/>
    <w:rsid w:val="00221967"/>
    <w:rsid w:val="002222E5"/>
    <w:rsid w:val="00223F9C"/>
    <w:rsid w:val="002256F8"/>
    <w:rsid w:val="00225894"/>
    <w:rsid w:val="002264B0"/>
    <w:rsid w:val="002301CB"/>
    <w:rsid w:val="00231045"/>
    <w:rsid w:val="002347B6"/>
    <w:rsid w:val="00234B2E"/>
    <w:rsid w:val="00235BB7"/>
    <w:rsid w:val="00235FCA"/>
    <w:rsid w:val="00240137"/>
    <w:rsid w:val="00240596"/>
    <w:rsid w:val="0024694C"/>
    <w:rsid w:val="002516CB"/>
    <w:rsid w:val="002524BE"/>
    <w:rsid w:val="00254F5D"/>
    <w:rsid w:val="00263D7C"/>
    <w:rsid w:val="00264EC5"/>
    <w:rsid w:val="0027146E"/>
    <w:rsid w:val="00276B71"/>
    <w:rsid w:val="00281464"/>
    <w:rsid w:val="00281542"/>
    <w:rsid w:val="0028168A"/>
    <w:rsid w:val="00282814"/>
    <w:rsid w:val="00282EBB"/>
    <w:rsid w:val="00291BAA"/>
    <w:rsid w:val="00292253"/>
    <w:rsid w:val="002924E4"/>
    <w:rsid w:val="002A12B7"/>
    <w:rsid w:val="002A45BC"/>
    <w:rsid w:val="002A50F0"/>
    <w:rsid w:val="002A6EF0"/>
    <w:rsid w:val="002A7271"/>
    <w:rsid w:val="002A73F8"/>
    <w:rsid w:val="002B3066"/>
    <w:rsid w:val="002B57D4"/>
    <w:rsid w:val="002B5E20"/>
    <w:rsid w:val="002B612F"/>
    <w:rsid w:val="002B66CC"/>
    <w:rsid w:val="002B7EF5"/>
    <w:rsid w:val="002C047F"/>
    <w:rsid w:val="002C1D97"/>
    <w:rsid w:val="002C50A0"/>
    <w:rsid w:val="002C5254"/>
    <w:rsid w:val="002C5ECE"/>
    <w:rsid w:val="002C71F3"/>
    <w:rsid w:val="002D2480"/>
    <w:rsid w:val="002D3700"/>
    <w:rsid w:val="002D4B05"/>
    <w:rsid w:val="002D590E"/>
    <w:rsid w:val="002E6817"/>
    <w:rsid w:val="002F0AA0"/>
    <w:rsid w:val="002F5E83"/>
    <w:rsid w:val="002F7321"/>
    <w:rsid w:val="002F7C5F"/>
    <w:rsid w:val="0030461D"/>
    <w:rsid w:val="003046C9"/>
    <w:rsid w:val="00305ABC"/>
    <w:rsid w:val="00305CD6"/>
    <w:rsid w:val="00311FB0"/>
    <w:rsid w:val="0031205E"/>
    <w:rsid w:val="0031396F"/>
    <w:rsid w:val="00314B51"/>
    <w:rsid w:val="003153FC"/>
    <w:rsid w:val="00315FC4"/>
    <w:rsid w:val="0031712A"/>
    <w:rsid w:val="0032109C"/>
    <w:rsid w:val="00321BAA"/>
    <w:rsid w:val="003222ED"/>
    <w:rsid w:val="003227FE"/>
    <w:rsid w:val="00323CB2"/>
    <w:rsid w:val="00325D3C"/>
    <w:rsid w:val="003316C7"/>
    <w:rsid w:val="00333213"/>
    <w:rsid w:val="0033443B"/>
    <w:rsid w:val="00335244"/>
    <w:rsid w:val="00335A18"/>
    <w:rsid w:val="00336DB4"/>
    <w:rsid w:val="003425E3"/>
    <w:rsid w:val="00343C85"/>
    <w:rsid w:val="00344856"/>
    <w:rsid w:val="00344CEB"/>
    <w:rsid w:val="00346460"/>
    <w:rsid w:val="00346D1D"/>
    <w:rsid w:val="00347F90"/>
    <w:rsid w:val="0035159B"/>
    <w:rsid w:val="00353EDD"/>
    <w:rsid w:val="00354019"/>
    <w:rsid w:val="00355421"/>
    <w:rsid w:val="003572D5"/>
    <w:rsid w:val="00363D01"/>
    <w:rsid w:val="00364D2F"/>
    <w:rsid w:val="003653D1"/>
    <w:rsid w:val="0036797B"/>
    <w:rsid w:val="0037117B"/>
    <w:rsid w:val="00376225"/>
    <w:rsid w:val="00380B64"/>
    <w:rsid w:val="00385317"/>
    <w:rsid w:val="00392A65"/>
    <w:rsid w:val="00396B1C"/>
    <w:rsid w:val="00396EFC"/>
    <w:rsid w:val="00397269"/>
    <w:rsid w:val="003A21E0"/>
    <w:rsid w:val="003A261E"/>
    <w:rsid w:val="003A7885"/>
    <w:rsid w:val="003B0577"/>
    <w:rsid w:val="003B113F"/>
    <w:rsid w:val="003B24B3"/>
    <w:rsid w:val="003B2A0B"/>
    <w:rsid w:val="003B4D75"/>
    <w:rsid w:val="003B52FF"/>
    <w:rsid w:val="003C15DF"/>
    <w:rsid w:val="003C4DF6"/>
    <w:rsid w:val="003C674C"/>
    <w:rsid w:val="003D05D4"/>
    <w:rsid w:val="003D3006"/>
    <w:rsid w:val="003D3EAF"/>
    <w:rsid w:val="003D4AA3"/>
    <w:rsid w:val="003D5005"/>
    <w:rsid w:val="003D544A"/>
    <w:rsid w:val="003D6EFA"/>
    <w:rsid w:val="003E11A7"/>
    <w:rsid w:val="003E1725"/>
    <w:rsid w:val="003E177D"/>
    <w:rsid w:val="003E2565"/>
    <w:rsid w:val="003E35ED"/>
    <w:rsid w:val="003E5AB1"/>
    <w:rsid w:val="003E6145"/>
    <w:rsid w:val="003E7F03"/>
    <w:rsid w:val="003F0509"/>
    <w:rsid w:val="003F31A1"/>
    <w:rsid w:val="003F4819"/>
    <w:rsid w:val="003F52CE"/>
    <w:rsid w:val="003F69BF"/>
    <w:rsid w:val="003F73DB"/>
    <w:rsid w:val="003F7E2C"/>
    <w:rsid w:val="00400386"/>
    <w:rsid w:val="00400A5E"/>
    <w:rsid w:val="004010AB"/>
    <w:rsid w:val="00402EB6"/>
    <w:rsid w:val="00406FD8"/>
    <w:rsid w:val="00416048"/>
    <w:rsid w:val="0041630C"/>
    <w:rsid w:val="00416E78"/>
    <w:rsid w:val="0041711D"/>
    <w:rsid w:val="00417BBB"/>
    <w:rsid w:val="0042072B"/>
    <w:rsid w:val="0042085F"/>
    <w:rsid w:val="00421535"/>
    <w:rsid w:val="00421941"/>
    <w:rsid w:val="004248CC"/>
    <w:rsid w:val="00430123"/>
    <w:rsid w:val="00430DAC"/>
    <w:rsid w:val="004336D3"/>
    <w:rsid w:val="0044023A"/>
    <w:rsid w:val="004405E4"/>
    <w:rsid w:val="00441A1D"/>
    <w:rsid w:val="00442A7A"/>
    <w:rsid w:val="00445BF8"/>
    <w:rsid w:val="00450DF4"/>
    <w:rsid w:val="00452A2C"/>
    <w:rsid w:val="0045596C"/>
    <w:rsid w:val="00461028"/>
    <w:rsid w:val="004613B7"/>
    <w:rsid w:val="0046155E"/>
    <w:rsid w:val="00465C36"/>
    <w:rsid w:val="00466B42"/>
    <w:rsid w:val="0047009A"/>
    <w:rsid w:val="0047041F"/>
    <w:rsid w:val="00470CDD"/>
    <w:rsid w:val="004731C5"/>
    <w:rsid w:val="0047390E"/>
    <w:rsid w:val="00474332"/>
    <w:rsid w:val="004766B1"/>
    <w:rsid w:val="00477DC9"/>
    <w:rsid w:val="00481E36"/>
    <w:rsid w:val="004850BD"/>
    <w:rsid w:val="00487286"/>
    <w:rsid w:val="0049404F"/>
    <w:rsid w:val="00496438"/>
    <w:rsid w:val="004965AC"/>
    <w:rsid w:val="004A24FB"/>
    <w:rsid w:val="004A37AE"/>
    <w:rsid w:val="004C0FEB"/>
    <w:rsid w:val="004C49C3"/>
    <w:rsid w:val="004C4E5D"/>
    <w:rsid w:val="004C56AF"/>
    <w:rsid w:val="004D2703"/>
    <w:rsid w:val="004D3717"/>
    <w:rsid w:val="004D5624"/>
    <w:rsid w:val="004E002F"/>
    <w:rsid w:val="004E66E4"/>
    <w:rsid w:val="004E7D8D"/>
    <w:rsid w:val="004F1367"/>
    <w:rsid w:val="004F3CFA"/>
    <w:rsid w:val="004F5952"/>
    <w:rsid w:val="004F5EBA"/>
    <w:rsid w:val="004F7A57"/>
    <w:rsid w:val="00500866"/>
    <w:rsid w:val="00500F8E"/>
    <w:rsid w:val="00503B79"/>
    <w:rsid w:val="00510ACE"/>
    <w:rsid w:val="005202B6"/>
    <w:rsid w:val="00520792"/>
    <w:rsid w:val="0052145A"/>
    <w:rsid w:val="0052531B"/>
    <w:rsid w:val="005275C0"/>
    <w:rsid w:val="0053340E"/>
    <w:rsid w:val="00536AAD"/>
    <w:rsid w:val="00536BE1"/>
    <w:rsid w:val="005401D9"/>
    <w:rsid w:val="00540AEC"/>
    <w:rsid w:val="0054348F"/>
    <w:rsid w:val="00545B8A"/>
    <w:rsid w:val="00545D89"/>
    <w:rsid w:val="00551AE6"/>
    <w:rsid w:val="00552E0A"/>
    <w:rsid w:val="00557A74"/>
    <w:rsid w:val="0056115F"/>
    <w:rsid w:val="00561C86"/>
    <w:rsid w:val="0056216B"/>
    <w:rsid w:val="00566035"/>
    <w:rsid w:val="00567C46"/>
    <w:rsid w:val="005717FB"/>
    <w:rsid w:val="00572358"/>
    <w:rsid w:val="0057276A"/>
    <w:rsid w:val="00573D9C"/>
    <w:rsid w:val="00575FAD"/>
    <w:rsid w:val="00580794"/>
    <w:rsid w:val="00581DA4"/>
    <w:rsid w:val="005836A3"/>
    <w:rsid w:val="0058374C"/>
    <w:rsid w:val="00583849"/>
    <w:rsid w:val="00584052"/>
    <w:rsid w:val="00585AAD"/>
    <w:rsid w:val="00587C93"/>
    <w:rsid w:val="0059174F"/>
    <w:rsid w:val="00592EA0"/>
    <w:rsid w:val="00595C40"/>
    <w:rsid w:val="00596134"/>
    <w:rsid w:val="005971B7"/>
    <w:rsid w:val="005A3176"/>
    <w:rsid w:val="005A3EF7"/>
    <w:rsid w:val="005B2972"/>
    <w:rsid w:val="005B3E3C"/>
    <w:rsid w:val="005B3F93"/>
    <w:rsid w:val="005B49B4"/>
    <w:rsid w:val="005B5685"/>
    <w:rsid w:val="005B5B56"/>
    <w:rsid w:val="005B6613"/>
    <w:rsid w:val="005B7DBA"/>
    <w:rsid w:val="005C2888"/>
    <w:rsid w:val="005C6E73"/>
    <w:rsid w:val="005C7082"/>
    <w:rsid w:val="005D01F5"/>
    <w:rsid w:val="005D6034"/>
    <w:rsid w:val="005E1FD8"/>
    <w:rsid w:val="005E52A6"/>
    <w:rsid w:val="005E627D"/>
    <w:rsid w:val="005E6E09"/>
    <w:rsid w:val="005F19FD"/>
    <w:rsid w:val="005F537E"/>
    <w:rsid w:val="005F7046"/>
    <w:rsid w:val="0060091F"/>
    <w:rsid w:val="00600A94"/>
    <w:rsid w:val="00602E4C"/>
    <w:rsid w:val="00603370"/>
    <w:rsid w:val="00604537"/>
    <w:rsid w:val="00605AE4"/>
    <w:rsid w:val="0060685D"/>
    <w:rsid w:val="00611C2D"/>
    <w:rsid w:val="00612199"/>
    <w:rsid w:val="00612644"/>
    <w:rsid w:val="00613861"/>
    <w:rsid w:val="00613D64"/>
    <w:rsid w:val="006148C7"/>
    <w:rsid w:val="00620A31"/>
    <w:rsid w:val="006218F6"/>
    <w:rsid w:val="00622DB5"/>
    <w:rsid w:val="00626BD8"/>
    <w:rsid w:val="006338D8"/>
    <w:rsid w:val="00633D24"/>
    <w:rsid w:val="00633FC3"/>
    <w:rsid w:val="00634B19"/>
    <w:rsid w:val="00637C67"/>
    <w:rsid w:val="00642961"/>
    <w:rsid w:val="00646BBF"/>
    <w:rsid w:val="00653807"/>
    <w:rsid w:val="00654311"/>
    <w:rsid w:val="006555FB"/>
    <w:rsid w:val="006651ED"/>
    <w:rsid w:val="00666132"/>
    <w:rsid w:val="00671815"/>
    <w:rsid w:val="00675AD3"/>
    <w:rsid w:val="00681523"/>
    <w:rsid w:val="00682A59"/>
    <w:rsid w:val="006835A5"/>
    <w:rsid w:val="00683D4B"/>
    <w:rsid w:val="006854F0"/>
    <w:rsid w:val="00690DBE"/>
    <w:rsid w:val="00693C2D"/>
    <w:rsid w:val="006941F1"/>
    <w:rsid w:val="006A1AED"/>
    <w:rsid w:val="006A2B7C"/>
    <w:rsid w:val="006A2F04"/>
    <w:rsid w:val="006A3502"/>
    <w:rsid w:val="006A6FF4"/>
    <w:rsid w:val="006B0D94"/>
    <w:rsid w:val="006B147B"/>
    <w:rsid w:val="006B2C4F"/>
    <w:rsid w:val="006B52B1"/>
    <w:rsid w:val="006B6093"/>
    <w:rsid w:val="006B6A6F"/>
    <w:rsid w:val="006C120D"/>
    <w:rsid w:val="006C47BA"/>
    <w:rsid w:val="006C501E"/>
    <w:rsid w:val="006C6704"/>
    <w:rsid w:val="006D4AB6"/>
    <w:rsid w:val="006E0326"/>
    <w:rsid w:val="006E3EAD"/>
    <w:rsid w:val="006E40C0"/>
    <w:rsid w:val="006E6EC2"/>
    <w:rsid w:val="006E766A"/>
    <w:rsid w:val="006F06A1"/>
    <w:rsid w:val="006F38D3"/>
    <w:rsid w:val="006F6923"/>
    <w:rsid w:val="00700B91"/>
    <w:rsid w:val="00702BA2"/>
    <w:rsid w:val="00703687"/>
    <w:rsid w:val="00705D68"/>
    <w:rsid w:val="00706974"/>
    <w:rsid w:val="00710A9E"/>
    <w:rsid w:val="00710D62"/>
    <w:rsid w:val="00712749"/>
    <w:rsid w:val="00713467"/>
    <w:rsid w:val="00713484"/>
    <w:rsid w:val="007177DB"/>
    <w:rsid w:val="0072594A"/>
    <w:rsid w:val="00726270"/>
    <w:rsid w:val="00731DC3"/>
    <w:rsid w:val="0073570D"/>
    <w:rsid w:val="00736722"/>
    <w:rsid w:val="007378C8"/>
    <w:rsid w:val="00741385"/>
    <w:rsid w:val="0074246E"/>
    <w:rsid w:val="00745551"/>
    <w:rsid w:val="00746E82"/>
    <w:rsid w:val="00753217"/>
    <w:rsid w:val="00754564"/>
    <w:rsid w:val="00757A27"/>
    <w:rsid w:val="00757BA3"/>
    <w:rsid w:val="007602D9"/>
    <w:rsid w:val="00762E57"/>
    <w:rsid w:val="00764A19"/>
    <w:rsid w:val="0077170E"/>
    <w:rsid w:val="00772790"/>
    <w:rsid w:val="0077484B"/>
    <w:rsid w:val="0077560D"/>
    <w:rsid w:val="00775F84"/>
    <w:rsid w:val="007822AC"/>
    <w:rsid w:val="00782E14"/>
    <w:rsid w:val="00785155"/>
    <w:rsid w:val="00786362"/>
    <w:rsid w:val="00787C59"/>
    <w:rsid w:val="00790918"/>
    <w:rsid w:val="00796D56"/>
    <w:rsid w:val="00796EC9"/>
    <w:rsid w:val="007A1729"/>
    <w:rsid w:val="007A1D7F"/>
    <w:rsid w:val="007A276B"/>
    <w:rsid w:val="007A4704"/>
    <w:rsid w:val="007A58D3"/>
    <w:rsid w:val="007A6E9F"/>
    <w:rsid w:val="007B0020"/>
    <w:rsid w:val="007B0620"/>
    <w:rsid w:val="007B12F4"/>
    <w:rsid w:val="007B742E"/>
    <w:rsid w:val="007C3A18"/>
    <w:rsid w:val="007C603A"/>
    <w:rsid w:val="007D1CDC"/>
    <w:rsid w:val="007D1FFD"/>
    <w:rsid w:val="007D2305"/>
    <w:rsid w:val="007D408A"/>
    <w:rsid w:val="007D5413"/>
    <w:rsid w:val="007E016D"/>
    <w:rsid w:val="007E0AF8"/>
    <w:rsid w:val="007E0B28"/>
    <w:rsid w:val="007E0D4D"/>
    <w:rsid w:val="007E2A46"/>
    <w:rsid w:val="007E2D77"/>
    <w:rsid w:val="007E5846"/>
    <w:rsid w:val="007E5A44"/>
    <w:rsid w:val="007E68AB"/>
    <w:rsid w:val="007E6F08"/>
    <w:rsid w:val="007E79AB"/>
    <w:rsid w:val="007F0F3E"/>
    <w:rsid w:val="007F3304"/>
    <w:rsid w:val="007F61A4"/>
    <w:rsid w:val="00801CA8"/>
    <w:rsid w:val="00802B62"/>
    <w:rsid w:val="008056F2"/>
    <w:rsid w:val="00807739"/>
    <w:rsid w:val="008128D8"/>
    <w:rsid w:val="00814125"/>
    <w:rsid w:val="00814784"/>
    <w:rsid w:val="00815E10"/>
    <w:rsid w:val="00815F7C"/>
    <w:rsid w:val="0081718A"/>
    <w:rsid w:val="00823912"/>
    <w:rsid w:val="0082591A"/>
    <w:rsid w:val="008261DB"/>
    <w:rsid w:val="008325A4"/>
    <w:rsid w:val="008330E3"/>
    <w:rsid w:val="00833BD3"/>
    <w:rsid w:val="00833CFD"/>
    <w:rsid w:val="00834DC0"/>
    <w:rsid w:val="008353A2"/>
    <w:rsid w:val="0084241A"/>
    <w:rsid w:val="0084365D"/>
    <w:rsid w:val="008440FF"/>
    <w:rsid w:val="00846CA4"/>
    <w:rsid w:val="00847011"/>
    <w:rsid w:val="00850266"/>
    <w:rsid w:val="00853E84"/>
    <w:rsid w:val="00854761"/>
    <w:rsid w:val="00860A36"/>
    <w:rsid w:val="008623A7"/>
    <w:rsid w:val="00862AB7"/>
    <w:rsid w:val="008639D6"/>
    <w:rsid w:val="00864F57"/>
    <w:rsid w:val="0086735F"/>
    <w:rsid w:val="008705BA"/>
    <w:rsid w:val="00873487"/>
    <w:rsid w:val="00873F1F"/>
    <w:rsid w:val="00874BD0"/>
    <w:rsid w:val="00881F31"/>
    <w:rsid w:val="008839A0"/>
    <w:rsid w:val="00884801"/>
    <w:rsid w:val="00885335"/>
    <w:rsid w:val="008920A4"/>
    <w:rsid w:val="008922DA"/>
    <w:rsid w:val="0089235F"/>
    <w:rsid w:val="008934BB"/>
    <w:rsid w:val="00895035"/>
    <w:rsid w:val="008962E7"/>
    <w:rsid w:val="008978EB"/>
    <w:rsid w:val="008A00F5"/>
    <w:rsid w:val="008A16F8"/>
    <w:rsid w:val="008A2A4C"/>
    <w:rsid w:val="008A65D2"/>
    <w:rsid w:val="008B1966"/>
    <w:rsid w:val="008B5EF9"/>
    <w:rsid w:val="008C1DBE"/>
    <w:rsid w:val="008C3F96"/>
    <w:rsid w:val="008C6649"/>
    <w:rsid w:val="008C7C23"/>
    <w:rsid w:val="008C7D44"/>
    <w:rsid w:val="008D13A0"/>
    <w:rsid w:val="008D31EA"/>
    <w:rsid w:val="008D335B"/>
    <w:rsid w:val="008D4180"/>
    <w:rsid w:val="008D5578"/>
    <w:rsid w:val="008D56B1"/>
    <w:rsid w:val="008E1D15"/>
    <w:rsid w:val="008E34FC"/>
    <w:rsid w:val="008E39A6"/>
    <w:rsid w:val="008E53F5"/>
    <w:rsid w:val="008F0DE2"/>
    <w:rsid w:val="008F264F"/>
    <w:rsid w:val="008F35CD"/>
    <w:rsid w:val="008F3C6A"/>
    <w:rsid w:val="008F71A3"/>
    <w:rsid w:val="008F7307"/>
    <w:rsid w:val="00900161"/>
    <w:rsid w:val="009057D7"/>
    <w:rsid w:val="00906A60"/>
    <w:rsid w:val="00906F8B"/>
    <w:rsid w:val="00910F39"/>
    <w:rsid w:val="0091763A"/>
    <w:rsid w:val="00917A2A"/>
    <w:rsid w:val="00920A04"/>
    <w:rsid w:val="00923132"/>
    <w:rsid w:val="00924293"/>
    <w:rsid w:val="00925C95"/>
    <w:rsid w:val="00927AEE"/>
    <w:rsid w:val="00930CB4"/>
    <w:rsid w:val="009347EE"/>
    <w:rsid w:val="00937966"/>
    <w:rsid w:val="009400E3"/>
    <w:rsid w:val="00940495"/>
    <w:rsid w:val="00945797"/>
    <w:rsid w:val="009463EB"/>
    <w:rsid w:val="009474E5"/>
    <w:rsid w:val="00947A1D"/>
    <w:rsid w:val="0095445A"/>
    <w:rsid w:val="0095707F"/>
    <w:rsid w:val="00964980"/>
    <w:rsid w:val="00966567"/>
    <w:rsid w:val="00966EEF"/>
    <w:rsid w:val="00972968"/>
    <w:rsid w:val="00977A00"/>
    <w:rsid w:val="00977A9E"/>
    <w:rsid w:val="009802B7"/>
    <w:rsid w:val="00983A70"/>
    <w:rsid w:val="00987167"/>
    <w:rsid w:val="00987519"/>
    <w:rsid w:val="00990FA7"/>
    <w:rsid w:val="00991D0A"/>
    <w:rsid w:val="00992281"/>
    <w:rsid w:val="00996F57"/>
    <w:rsid w:val="009A0094"/>
    <w:rsid w:val="009A1ECB"/>
    <w:rsid w:val="009A394F"/>
    <w:rsid w:val="009A3CE4"/>
    <w:rsid w:val="009A7CD1"/>
    <w:rsid w:val="009B0285"/>
    <w:rsid w:val="009C074F"/>
    <w:rsid w:val="009C1A07"/>
    <w:rsid w:val="009C2411"/>
    <w:rsid w:val="009C370F"/>
    <w:rsid w:val="009C373C"/>
    <w:rsid w:val="009C3F98"/>
    <w:rsid w:val="009C7991"/>
    <w:rsid w:val="009D0D67"/>
    <w:rsid w:val="009E0059"/>
    <w:rsid w:val="009E0261"/>
    <w:rsid w:val="009E1717"/>
    <w:rsid w:val="009E1CBB"/>
    <w:rsid w:val="009E56A2"/>
    <w:rsid w:val="009E7121"/>
    <w:rsid w:val="009E7A3D"/>
    <w:rsid w:val="009F32E1"/>
    <w:rsid w:val="009F3886"/>
    <w:rsid w:val="009F507A"/>
    <w:rsid w:val="009F5441"/>
    <w:rsid w:val="009F6E6C"/>
    <w:rsid w:val="00A01932"/>
    <w:rsid w:val="00A040FA"/>
    <w:rsid w:val="00A052D5"/>
    <w:rsid w:val="00A0747D"/>
    <w:rsid w:val="00A07857"/>
    <w:rsid w:val="00A07A3B"/>
    <w:rsid w:val="00A13F45"/>
    <w:rsid w:val="00A14B64"/>
    <w:rsid w:val="00A14CA9"/>
    <w:rsid w:val="00A17222"/>
    <w:rsid w:val="00A17DB2"/>
    <w:rsid w:val="00A24C26"/>
    <w:rsid w:val="00A24ECD"/>
    <w:rsid w:val="00A26CA2"/>
    <w:rsid w:val="00A3034B"/>
    <w:rsid w:val="00A3725D"/>
    <w:rsid w:val="00A37FBF"/>
    <w:rsid w:val="00A4098A"/>
    <w:rsid w:val="00A42609"/>
    <w:rsid w:val="00A42709"/>
    <w:rsid w:val="00A43326"/>
    <w:rsid w:val="00A44828"/>
    <w:rsid w:val="00A456FD"/>
    <w:rsid w:val="00A52E82"/>
    <w:rsid w:val="00A60BDB"/>
    <w:rsid w:val="00A60FBA"/>
    <w:rsid w:val="00A61D34"/>
    <w:rsid w:val="00A62CDA"/>
    <w:rsid w:val="00A641C9"/>
    <w:rsid w:val="00A647A1"/>
    <w:rsid w:val="00A673CD"/>
    <w:rsid w:val="00A67873"/>
    <w:rsid w:val="00A714E8"/>
    <w:rsid w:val="00A72C31"/>
    <w:rsid w:val="00A77059"/>
    <w:rsid w:val="00A812C1"/>
    <w:rsid w:val="00A81E4B"/>
    <w:rsid w:val="00A85D25"/>
    <w:rsid w:val="00A86ED7"/>
    <w:rsid w:val="00A87DD4"/>
    <w:rsid w:val="00A926C5"/>
    <w:rsid w:val="00A92B25"/>
    <w:rsid w:val="00A94057"/>
    <w:rsid w:val="00A940F3"/>
    <w:rsid w:val="00A94FD4"/>
    <w:rsid w:val="00AA5327"/>
    <w:rsid w:val="00AA5FE7"/>
    <w:rsid w:val="00AB5A7C"/>
    <w:rsid w:val="00AC1D29"/>
    <w:rsid w:val="00AC2A4D"/>
    <w:rsid w:val="00AC3AD2"/>
    <w:rsid w:val="00AC3D46"/>
    <w:rsid w:val="00AC408D"/>
    <w:rsid w:val="00AC4B63"/>
    <w:rsid w:val="00AC524B"/>
    <w:rsid w:val="00AC58DD"/>
    <w:rsid w:val="00AC5FD8"/>
    <w:rsid w:val="00AD0667"/>
    <w:rsid w:val="00AD16C0"/>
    <w:rsid w:val="00AD2E91"/>
    <w:rsid w:val="00AD4B9C"/>
    <w:rsid w:val="00AD5B9F"/>
    <w:rsid w:val="00AD7637"/>
    <w:rsid w:val="00AE1E11"/>
    <w:rsid w:val="00AE2C31"/>
    <w:rsid w:val="00AE3EB1"/>
    <w:rsid w:val="00AE7FC1"/>
    <w:rsid w:val="00AF2D22"/>
    <w:rsid w:val="00AF447C"/>
    <w:rsid w:val="00AF47B2"/>
    <w:rsid w:val="00AF4A58"/>
    <w:rsid w:val="00AF5FC1"/>
    <w:rsid w:val="00B00037"/>
    <w:rsid w:val="00B01849"/>
    <w:rsid w:val="00B0413E"/>
    <w:rsid w:val="00B044D7"/>
    <w:rsid w:val="00B05604"/>
    <w:rsid w:val="00B05DD3"/>
    <w:rsid w:val="00B12176"/>
    <w:rsid w:val="00B14060"/>
    <w:rsid w:val="00B15CF5"/>
    <w:rsid w:val="00B17E00"/>
    <w:rsid w:val="00B20513"/>
    <w:rsid w:val="00B208A3"/>
    <w:rsid w:val="00B21160"/>
    <w:rsid w:val="00B248E7"/>
    <w:rsid w:val="00B25B05"/>
    <w:rsid w:val="00B30250"/>
    <w:rsid w:val="00B33689"/>
    <w:rsid w:val="00B339E7"/>
    <w:rsid w:val="00B40C49"/>
    <w:rsid w:val="00B52F8D"/>
    <w:rsid w:val="00B56367"/>
    <w:rsid w:val="00B6193F"/>
    <w:rsid w:val="00B62824"/>
    <w:rsid w:val="00B6302C"/>
    <w:rsid w:val="00B63256"/>
    <w:rsid w:val="00B666E5"/>
    <w:rsid w:val="00B712E3"/>
    <w:rsid w:val="00B7379B"/>
    <w:rsid w:val="00B73BB1"/>
    <w:rsid w:val="00B8024C"/>
    <w:rsid w:val="00B81204"/>
    <w:rsid w:val="00B8460E"/>
    <w:rsid w:val="00B854C3"/>
    <w:rsid w:val="00B862A1"/>
    <w:rsid w:val="00B863B4"/>
    <w:rsid w:val="00B86860"/>
    <w:rsid w:val="00B90CFD"/>
    <w:rsid w:val="00B91710"/>
    <w:rsid w:val="00B926D8"/>
    <w:rsid w:val="00B94144"/>
    <w:rsid w:val="00BA0EC7"/>
    <w:rsid w:val="00BA3348"/>
    <w:rsid w:val="00BA4547"/>
    <w:rsid w:val="00BA66DA"/>
    <w:rsid w:val="00BB1F3E"/>
    <w:rsid w:val="00BB4951"/>
    <w:rsid w:val="00BC02EC"/>
    <w:rsid w:val="00BC142F"/>
    <w:rsid w:val="00BC2544"/>
    <w:rsid w:val="00BC25AE"/>
    <w:rsid w:val="00BC2E0E"/>
    <w:rsid w:val="00BD2CBF"/>
    <w:rsid w:val="00BD4EB6"/>
    <w:rsid w:val="00BD6661"/>
    <w:rsid w:val="00BE3918"/>
    <w:rsid w:val="00BE4265"/>
    <w:rsid w:val="00BE7449"/>
    <w:rsid w:val="00BF4332"/>
    <w:rsid w:val="00BF4701"/>
    <w:rsid w:val="00BF4BD3"/>
    <w:rsid w:val="00BF78EF"/>
    <w:rsid w:val="00BF7A90"/>
    <w:rsid w:val="00C00BA7"/>
    <w:rsid w:val="00C01487"/>
    <w:rsid w:val="00C021CD"/>
    <w:rsid w:val="00C04759"/>
    <w:rsid w:val="00C064EB"/>
    <w:rsid w:val="00C06FCC"/>
    <w:rsid w:val="00C10260"/>
    <w:rsid w:val="00C125F0"/>
    <w:rsid w:val="00C128FF"/>
    <w:rsid w:val="00C14AE2"/>
    <w:rsid w:val="00C1528B"/>
    <w:rsid w:val="00C166CC"/>
    <w:rsid w:val="00C20144"/>
    <w:rsid w:val="00C23DAC"/>
    <w:rsid w:val="00C266F5"/>
    <w:rsid w:val="00C3036B"/>
    <w:rsid w:val="00C30C4C"/>
    <w:rsid w:val="00C31211"/>
    <w:rsid w:val="00C33B62"/>
    <w:rsid w:val="00C362E4"/>
    <w:rsid w:val="00C449A9"/>
    <w:rsid w:val="00C449E3"/>
    <w:rsid w:val="00C4601C"/>
    <w:rsid w:val="00C460FD"/>
    <w:rsid w:val="00C471FA"/>
    <w:rsid w:val="00C5039C"/>
    <w:rsid w:val="00C540F2"/>
    <w:rsid w:val="00C639C0"/>
    <w:rsid w:val="00C64F2B"/>
    <w:rsid w:val="00C65E2B"/>
    <w:rsid w:val="00C717A8"/>
    <w:rsid w:val="00C71A94"/>
    <w:rsid w:val="00C71E43"/>
    <w:rsid w:val="00C7264B"/>
    <w:rsid w:val="00C73A75"/>
    <w:rsid w:val="00C76D8F"/>
    <w:rsid w:val="00C77C0A"/>
    <w:rsid w:val="00C82B92"/>
    <w:rsid w:val="00C839EC"/>
    <w:rsid w:val="00C852EB"/>
    <w:rsid w:val="00C858AF"/>
    <w:rsid w:val="00C866EB"/>
    <w:rsid w:val="00C87686"/>
    <w:rsid w:val="00C92540"/>
    <w:rsid w:val="00C9754B"/>
    <w:rsid w:val="00CA1F75"/>
    <w:rsid w:val="00CA21B0"/>
    <w:rsid w:val="00CA6FE3"/>
    <w:rsid w:val="00CB0836"/>
    <w:rsid w:val="00CC6725"/>
    <w:rsid w:val="00CD2391"/>
    <w:rsid w:val="00CD3C9F"/>
    <w:rsid w:val="00CD4354"/>
    <w:rsid w:val="00CE1751"/>
    <w:rsid w:val="00CE2992"/>
    <w:rsid w:val="00CF2B3A"/>
    <w:rsid w:val="00CF52D0"/>
    <w:rsid w:val="00D03037"/>
    <w:rsid w:val="00D0459C"/>
    <w:rsid w:val="00D112EF"/>
    <w:rsid w:val="00D12D70"/>
    <w:rsid w:val="00D1319A"/>
    <w:rsid w:val="00D24342"/>
    <w:rsid w:val="00D270B6"/>
    <w:rsid w:val="00D34E65"/>
    <w:rsid w:val="00D3582B"/>
    <w:rsid w:val="00D35BC9"/>
    <w:rsid w:val="00D3637A"/>
    <w:rsid w:val="00D4141C"/>
    <w:rsid w:val="00D44FC0"/>
    <w:rsid w:val="00D46487"/>
    <w:rsid w:val="00D47B2F"/>
    <w:rsid w:val="00D52FB7"/>
    <w:rsid w:val="00D5387B"/>
    <w:rsid w:val="00D53D4E"/>
    <w:rsid w:val="00D54C65"/>
    <w:rsid w:val="00D5554F"/>
    <w:rsid w:val="00D55F7B"/>
    <w:rsid w:val="00D56C95"/>
    <w:rsid w:val="00D571A4"/>
    <w:rsid w:val="00D575BE"/>
    <w:rsid w:val="00D61F0F"/>
    <w:rsid w:val="00D61F2D"/>
    <w:rsid w:val="00D65702"/>
    <w:rsid w:val="00D710DE"/>
    <w:rsid w:val="00D7217E"/>
    <w:rsid w:val="00D741AB"/>
    <w:rsid w:val="00D7565E"/>
    <w:rsid w:val="00D76E62"/>
    <w:rsid w:val="00D830D9"/>
    <w:rsid w:val="00D83FCD"/>
    <w:rsid w:val="00D874A2"/>
    <w:rsid w:val="00D8766E"/>
    <w:rsid w:val="00D87B65"/>
    <w:rsid w:val="00D913DB"/>
    <w:rsid w:val="00D914B1"/>
    <w:rsid w:val="00D91753"/>
    <w:rsid w:val="00D97BEE"/>
    <w:rsid w:val="00DA2A49"/>
    <w:rsid w:val="00DA69DA"/>
    <w:rsid w:val="00DB0170"/>
    <w:rsid w:val="00DB1F3D"/>
    <w:rsid w:val="00DB43F0"/>
    <w:rsid w:val="00DB4C2A"/>
    <w:rsid w:val="00DB5F19"/>
    <w:rsid w:val="00DB6327"/>
    <w:rsid w:val="00DB6466"/>
    <w:rsid w:val="00DB7369"/>
    <w:rsid w:val="00DC1A64"/>
    <w:rsid w:val="00DC6853"/>
    <w:rsid w:val="00DC69AF"/>
    <w:rsid w:val="00DC71C9"/>
    <w:rsid w:val="00DD0981"/>
    <w:rsid w:val="00DD106D"/>
    <w:rsid w:val="00DD1F10"/>
    <w:rsid w:val="00DD4A2C"/>
    <w:rsid w:val="00DD5C90"/>
    <w:rsid w:val="00DE39B9"/>
    <w:rsid w:val="00DE727B"/>
    <w:rsid w:val="00DE7304"/>
    <w:rsid w:val="00DE7BEE"/>
    <w:rsid w:val="00DF0123"/>
    <w:rsid w:val="00DF0CBE"/>
    <w:rsid w:val="00DF1B8F"/>
    <w:rsid w:val="00DF3E77"/>
    <w:rsid w:val="00DF4EA8"/>
    <w:rsid w:val="00DF510C"/>
    <w:rsid w:val="00E00680"/>
    <w:rsid w:val="00E043AB"/>
    <w:rsid w:val="00E10D49"/>
    <w:rsid w:val="00E15283"/>
    <w:rsid w:val="00E1587B"/>
    <w:rsid w:val="00E20DDC"/>
    <w:rsid w:val="00E213EC"/>
    <w:rsid w:val="00E2273E"/>
    <w:rsid w:val="00E23A30"/>
    <w:rsid w:val="00E3062F"/>
    <w:rsid w:val="00E30C10"/>
    <w:rsid w:val="00E33860"/>
    <w:rsid w:val="00E40E8A"/>
    <w:rsid w:val="00E4352D"/>
    <w:rsid w:val="00E43ABA"/>
    <w:rsid w:val="00E44C39"/>
    <w:rsid w:val="00E46E84"/>
    <w:rsid w:val="00E5053D"/>
    <w:rsid w:val="00E51931"/>
    <w:rsid w:val="00E5554C"/>
    <w:rsid w:val="00E55B88"/>
    <w:rsid w:val="00E55B8E"/>
    <w:rsid w:val="00E57156"/>
    <w:rsid w:val="00E6191D"/>
    <w:rsid w:val="00E62CA1"/>
    <w:rsid w:val="00E65DC7"/>
    <w:rsid w:val="00E67E13"/>
    <w:rsid w:val="00E7190B"/>
    <w:rsid w:val="00E72097"/>
    <w:rsid w:val="00E741A5"/>
    <w:rsid w:val="00E74DD8"/>
    <w:rsid w:val="00E80B22"/>
    <w:rsid w:val="00E81A13"/>
    <w:rsid w:val="00E83FB4"/>
    <w:rsid w:val="00E850A8"/>
    <w:rsid w:val="00E9038A"/>
    <w:rsid w:val="00E92373"/>
    <w:rsid w:val="00E934BC"/>
    <w:rsid w:val="00E93C10"/>
    <w:rsid w:val="00E93DA2"/>
    <w:rsid w:val="00E945A0"/>
    <w:rsid w:val="00E94FBB"/>
    <w:rsid w:val="00E953FA"/>
    <w:rsid w:val="00EA04CB"/>
    <w:rsid w:val="00EA38C7"/>
    <w:rsid w:val="00EA6E02"/>
    <w:rsid w:val="00EA75FE"/>
    <w:rsid w:val="00EA7C54"/>
    <w:rsid w:val="00EB1609"/>
    <w:rsid w:val="00EB506A"/>
    <w:rsid w:val="00EB73CE"/>
    <w:rsid w:val="00EC177C"/>
    <w:rsid w:val="00EC3A7C"/>
    <w:rsid w:val="00EC4AFE"/>
    <w:rsid w:val="00EC587F"/>
    <w:rsid w:val="00EC5BF1"/>
    <w:rsid w:val="00EC6B7C"/>
    <w:rsid w:val="00ED2374"/>
    <w:rsid w:val="00ED3EA8"/>
    <w:rsid w:val="00ED4574"/>
    <w:rsid w:val="00ED7B9D"/>
    <w:rsid w:val="00EE176F"/>
    <w:rsid w:val="00EE2273"/>
    <w:rsid w:val="00EE3B82"/>
    <w:rsid w:val="00EE41A6"/>
    <w:rsid w:val="00EE5E73"/>
    <w:rsid w:val="00EE61B3"/>
    <w:rsid w:val="00EE6FA6"/>
    <w:rsid w:val="00EF3CB8"/>
    <w:rsid w:val="00EF5879"/>
    <w:rsid w:val="00EF6372"/>
    <w:rsid w:val="00EF6443"/>
    <w:rsid w:val="00EF7BE3"/>
    <w:rsid w:val="00F0530E"/>
    <w:rsid w:val="00F05D59"/>
    <w:rsid w:val="00F1588F"/>
    <w:rsid w:val="00F17F4E"/>
    <w:rsid w:val="00F22411"/>
    <w:rsid w:val="00F4004C"/>
    <w:rsid w:val="00F41118"/>
    <w:rsid w:val="00F412BB"/>
    <w:rsid w:val="00F4236E"/>
    <w:rsid w:val="00F44B41"/>
    <w:rsid w:val="00F459B9"/>
    <w:rsid w:val="00F64454"/>
    <w:rsid w:val="00F6721C"/>
    <w:rsid w:val="00F72116"/>
    <w:rsid w:val="00F72AE8"/>
    <w:rsid w:val="00F774E8"/>
    <w:rsid w:val="00F77A72"/>
    <w:rsid w:val="00F826BA"/>
    <w:rsid w:val="00F83E23"/>
    <w:rsid w:val="00F84320"/>
    <w:rsid w:val="00F869DE"/>
    <w:rsid w:val="00F95507"/>
    <w:rsid w:val="00F95665"/>
    <w:rsid w:val="00F977D8"/>
    <w:rsid w:val="00FA4A0E"/>
    <w:rsid w:val="00FA6ADE"/>
    <w:rsid w:val="00FA773B"/>
    <w:rsid w:val="00FB1601"/>
    <w:rsid w:val="00FB29BE"/>
    <w:rsid w:val="00FB3BDF"/>
    <w:rsid w:val="00FB7D73"/>
    <w:rsid w:val="00FC2420"/>
    <w:rsid w:val="00FC3611"/>
    <w:rsid w:val="00FD02F6"/>
    <w:rsid w:val="00FD1227"/>
    <w:rsid w:val="00FD424F"/>
    <w:rsid w:val="00FD4348"/>
    <w:rsid w:val="00FD5360"/>
    <w:rsid w:val="00FD7E94"/>
    <w:rsid w:val="00FE0314"/>
    <w:rsid w:val="00FE2891"/>
    <w:rsid w:val="00FE5E73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4:docId w14:val="443D615B"/>
  <w15:docId w15:val="{B13A2AAA-3638-4752-9477-3ECF36A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/>
    <w:lsdException w:name="heading 5" w:locked="1" w:uiPriority="9"/>
    <w:lsdException w:name="heading 6" w:locked="1" w:uiPriority="9"/>
    <w:lsdException w:name="heading 7" w:locked="1" w:uiPriority="9"/>
    <w:lsdException w:name="heading 8" w:locked="1" w:uiPriority="9"/>
    <w:lsdException w:name="heading 9" w:locked="1" w:uiPriority="9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0B39C9"/>
    <w:pPr>
      <w:keepNext/>
      <w:numPr>
        <w:numId w:val="7"/>
      </w:numPr>
      <w:spacing w:before="360" w:after="120"/>
      <w:ind w:left="567" w:hanging="567"/>
      <w:outlineLvl w:val="0"/>
    </w:pPr>
    <w:rPr>
      <w:b/>
      <w:bCs/>
      <w:color w:val="595959" w:themeColor="text1" w:themeTint="A6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C5039C"/>
    <w:pPr>
      <w:keepNext/>
      <w:numPr>
        <w:numId w:val="3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B39C9"/>
    <w:rPr>
      <w:rFonts w:ascii="Arial" w:hAnsi="Arial" w:cs="Arial"/>
      <w:b/>
      <w:bCs/>
      <w:color w:val="595959" w:themeColor="text1" w:themeTint="A6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5039C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D4574"/>
    <w:rPr>
      <w:rFonts w:ascii="Arial" w:hAnsi="Arial" w:cs="Arial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locked/>
    <w:rsid w:val="00ED4574"/>
    <w:rPr>
      <w:rFonts w:ascii="Arial" w:hAnsi="Arial" w:cs="Arial"/>
      <w:spacing w:val="20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ED4574"/>
    <w:rPr>
      <w:rFonts w:ascii="Arial" w:hAnsi="Arial" w:cs="Arial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ED4574"/>
    <w:rPr>
      <w:rFonts w:ascii="Arial" w:hAnsi="Arial" w:cs="Arial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5E6E09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39"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56115F"/>
    <w:pPr>
      <w:tabs>
        <w:tab w:val="right" w:leader="dot" w:pos="9627"/>
      </w:tabs>
      <w:spacing w:before="240" w:after="120"/>
      <w:ind w:left="567" w:hanging="567"/>
    </w:pPr>
    <w:rPr>
      <w:b/>
      <w:bCs/>
      <w:color w:val="595959" w:themeColor="text1" w:themeTint="A6"/>
    </w:rPr>
  </w:style>
  <w:style w:type="paragraph" w:styleId="Obsah2">
    <w:name w:val="toc 2"/>
    <w:basedOn w:val="Normln"/>
    <w:next w:val="Normln"/>
    <w:autoRedefine/>
    <w:uiPriority w:val="39"/>
    <w:rsid w:val="0056115F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39"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39"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39"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B01849"/>
    <w:pPr>
      <w:numPr>
        <w:numId w:val="6"/>
      </w:numPr>
      <w:ind w:left="567" w:hanging="207"/>
      <w:jc w:val="both"/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paragraph" w:styleId="Odstavecseseznamem">
    <w:name w:val="List Paragraph"/>
    <w:basedOn w:val="Normln"/>
    <w:uiPriority w:val="34"/>
    <w:rsid w:val="00846CA4"/>
    <w:pPr>
      <w:ind w:left="720"/>
      <w:contextualSpacing/>
    </w:pPr>
  </w:style>
  <w:style w:type="paragraph" w:customStyle="1" w:styleId="Nadpis2-1">
    <w:name w:val="Nadpis 2-1"/>
    <w:basedOn w:val="Nadpis2"/>
    <w:rsid w:val="009A1ECB"/>
    <w:pPr>
      <w:numPr>
        <w:numId w:val="0"/>
      </w:numPr>
      <w:ind w:left="709" w:hanging="567"/>
    </w:pPr>
    <w:rPr>
      <w:bCs w:val="0"/>
    </w:rPr>
  </w:style>
  <w:style w:type="paragraph" w:customStyle="1" w:styleId="AqpPodnadpisSO">
    <w:name w:val="AqpPodnadpisSO"/>
    <w:rsid w:val="00EC3A7C"/>
    <w:pPr>
      <w:pBdr>
        <w:bottom w:val="single" w:sz="4" w:space="1" w:color="auto"/>
      </w:pBdr>
      <w:spacing w:before="240"/>
    </w:pPr>
    <w:rPr>
      <w:rFonts w:ascii="Arial" w:hAnsi="Arial" w:cs="Arial"/>
      <w:b/>
      <w:bCs/>
      <w:sz w:val="20"/>
      <w:szCs w:val="20"/>
    </w:rPr>
  </w:style>
  <w:style w:type="paragraph" w:customStyle="1" w:styleId="AqpPodnadpisSO2">
    <w:name w:val="AqpPodnadpisSO_2"/>
    <w:basedOn w:val="AqpText"/>
    <w:rsid w:val="00EC3A7C"/>
    <w:pPr>
      <w:spacing w:before="240" w:after="120"/>
    </w:pPr>
    <w:rPr>
      <w:b/>
    </w:rPr>
  </w:style>
  <w:style w:type="paragraph" w:styleId="Zkladntextodsazen">
    <w:name w:val="Body Text Indent"/>
    <w:basedOn w:val="Normln"/>
    <w:link w:val="ZkladntextodsazenChar"/>
    <w:locked/>
    <w:rsid w:val="00D44FC0"/>
    <w:pPr>
      <w:ind w:left="360"/>
      <w:jc w:val="both"/>
    </w:pPr>
    <w:rPr>
      <w:rFonts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D44FC0"/>
    <w:rPr>
      <w:rFonts w:ascii="Arial" w:hAnsi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locked/>
    <w:rsid w:val="007E0A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E0AF8"/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locked/>
    <w:rsid w:val="001017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17FD"/>
    <w:rPr>
      <w:rFonts w:ascii="Arial" w:hAnsi="Arial" w:cs="Arial"/>
      <w:sz w:val="20"/>
      <w:szCs w:val="20"/>
    </w:rPr>
  </w:style>
  <w:style w:type="table" w:styleId="Svtlmkatabulky">
    <w:name w:val="Grid Table Light"/>
    <w:basedOn w:val="Normlntabulka"/>
    <w:uiPriority w:val="40"/>
    <w:rsid w:val="00BA3348"/>
    <w:rPr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Standardnpsmoodstavce"/>
    <w:uiPriority w:val="99"/>
    <w:locked/>
    <w:rsid w:val="00036455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soh.mzp.cz/RegistrZarizeni/Main/Map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70A9B-0CCD-467C-A162-56F03C4E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3011</TotalTime>
  <Pages>11</Pages>
  <Words>3264</Words>
  <Characters>20547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23764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58</cp:revision>
  <cp:lastPrinted>2021-05-24T10:24:00Z</cp:lastPrinted>
  <dcterms:created xsi:type="dcterms:W3CDTF">2018-10-23T05:18:00Z</dcterms:created>
  <dcterms:modified xsi:type="dcterms:W3CDTF">2022-05-25T10:09:00Z</dcterms:modified>
</cp:coreProperties>
</file>